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val="0"/>
        <w:spacing w:line="560" w:lineRule="exact"/>
        <w:ind w:firstLine="0" w:firstLineChars="0"/>
        <w:contextualSpacing/>
        <w:jc w:val="center"/>
        <w:textAlignment w:val="auto"/>
        <w:outlineLvl w:val="0"/>
        <w:rPr>
          <w:rFonts w:ascii="宋体" w:hAnsi="宋体" w:cs="华文仿宋"/>
          <w:b/>
          <w:color w:val="000000" w:themeColor="text1"/>
          <w:sz w:val="44"/>
          <w:szCs w:val="44"/>
          <w14:textFill>
            <w14:solidFill>
              <w14:schemeClr w14:val="tx1"/>
            </w14:solidFill>
          </w14:textFill>
        </w:rPr>
      </w:pPr>
      <w:r>
        <w:rPr>
          <w:rFonts w:hint="eastAsia" w:ascii="宋体" w:hAnsi="宋体" w:cs="华文仿宋"/>
          <w:b/>
          <w:color w:val="000000" w:themeColor="text1"/>
          <w:sz w:val="44"/>
          <w:szCs w:val="44"/>
          <w14:textFill>
            <w14:solidFill>
              <w14:schemeClr w14:val="tx1"/>
            </w14:solidFill>
          </w14:textFill>
        </w:rPr>
        <w:t>债权申报通知书</w:t>
      </w:r>
    </w:p>
    <w:p>
      <w:pPr>
        <w:keepNext w:val="0"/>
        <w:keepLines w:val="0"/>
        <w:pageBreakBefore w:val="0"/>
        <w:kinsoku/>
        <w:overflowPunct/>
        <w:topLinePunct w:val="0"/>
        <w:autoSpaceDE/>
        <w:autoSpaceDN/>
        <w:bidi w:val="0"/>
        <w:snapToGrid w:val="0"/>
        <w:spacing w:line="560" w:lineRule="exact"/>
        <w:contextualSpacing/>
        <w:jc w:val="left"/>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lang w:eastAsia="zh-CN"/>
          <w14:textFill>
            <w14:solidFill>
              <w14:schemeClr w14:val="tx1"/>
            </w14:solidFill>
          </w14:textFill>
        </w:rPr>
        <w:t>徐超</w:t>
      </w:r>
      <w:r>
        <w:rPr>
          <w:rFonts w:hint="eastAsia" w:ascii="宋体" w:hAnsi="宋体" w:cs="华文仿宋"/>
          <w:b/>
          <w:color w:val="000000" w:themeColor="text1"/>
          <w:sz w:val="28"/>
          <w:szCs w:val="28"/>
          <w14:textFill>
            <w14:solidFill>
              <w14:schemeClr w14:val="tx1"/>
            </w14:solidFill>
          </w14:textFill>
        </w:rPr>
        <w:t>各债权人：</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default" w:ascii="宋体" w:hAnsi="宋体" w:cs="华文仿宋"/>
          <w:color w:val="000000" w:themeColor="text1"/>
          <w:sz w:val="28"/>
          <w:szCs w:val="28"/>
          <w:lang w:val="en-US" w:eastAsia="zh-Hans"/>
          <w14:textFill>
            <w14:solidFill>
              <w14:schemeClr w14:val="tx1"/>
            </w14:solidFill>
          </w14:textFill>
        </w:rPr>
        <w:t>浙江省龙游县人民法院</w:t>
      </w:r>
      <w:r>
        <w:rPr>
          <w:rFonts w:hint="eastAsia" w:ascii="宋体" w:hAnsi="宋体" w:cs="华文仿宋"/>
          <w:color w:val="000000" w:themeColor="text1"/>
          <w:sz w:val="28"/>
          <w:szCs w:val="28"/>
          <w:lang w:eastAsia="zh-Hans"/>
          <w14:textFill>
            <w14:solidFill>
              <w14:schemeClr w14:val="tx1"/>
            </w14:solidFill>
          </w14:textFill>
        </w:rPr>
        <w:t>（以下简称“</w:t>
      </w:r>
      <w:r>
        <w:rPr>
          <w:rFonts w:hint="eastAsia" w:ascii="宋体" w:hAnsi="宋体" w:cs="华文仿宋"/>
          <w:color w:val="000000" w:themeColor="text1"/>
          <w:sz w:val="28"/>
          <w:szCs w:val="28"/>
          <w:lang w:eastAsia="zh-CN"/>
          <w14:textFill>
            <w14:solidFill>
              <w14:schemeClr w14:val="tx1"/>
            </w14:solidFill>
          </w14:textFill>
        </w:rPr>
        <w:t>龙游县人民法院</w:t>
      </w:r>
      <w:r>
        <w:rPr>
          <w:rFonts w:hint="eastAsia" w:ascii="宋体" w:hAnsi="宋体" w:cs="华文仿宋"/>
          <w:color w:val="000000" w:themeColor="text1"/>
          <w:sz w:val="28"/>
          <w:szCs w:val="28"/>
          <w:lang w:eastAsia="zh-Hans"/>
          <w14:textFill>
            <w14:solidFill>
              <w14:schemeClr w14:val="tx1"/>
            </w14:solidFill>
          </w14:textFill>
        </w:rPr>
        <w:t>”）于</w:t>
      </w:r>
      <w:r>
        <w:rPr>
          <w:rFonts w:hint="eastAsia" w:ascii="宋体" w:hAnsi="宋体" w:cs="华文仿宋"/>
          <w:color w:val="000000" w:themeColor="text1"/>
          <w:sz w:val="28"/>
          <w:szCs w:val="28"/>
          <w:lang w:eastAsia="zh-CN"/>
          <w14:textFill>
            <w14:solidFill>
              <w14:schemeClr w14:val="tx1"/>
            </w14:solidFill>
          </w14:textFill>
        </w:rPr>
        <w:t>2024年4月11日</w:t>
      </w:r>
      <w:r>
        <w:rPr>
          <w:rFonts w:hint="eastAsia" w:ascii="宋体" w:hAnsi="宋体" w:cs="华文仿宋"/>
          <w:color w:val="000000" w:themeColor="text1"/>
          <w:sz w:val="28"/>
          <w:szCs w:val="28"/>
          <w:lang w:eastAsia="zh-Hans"/>
          <w14:textFill>
            <w14:solidFill>
              <w14:schemeClr w14:val="tx1"/>
            </w14:solidFill>
          </w14:textFill>
        </w:rPr>
        <w:t>作出</w:t>
      </w:r>
      <w:r>
        <w:rPr>
          <w:rFonts w:hint="eastAsia" w:ascii="宋体" w:hAnsi="宋体" w:cs="华文仿宋"/>
          <w:color w:val="000000" w:themeColor="text1"/>
          <w:sz w:val="28"/>
          <w:szCs w:val="28"/>
          <w:lang w:eastAsia="zh-CN"/>
          <w14:textFill>
            <w14:solidFill>
              <w14:schemeClr w14:val="tx1"/>
            </w14:solidFill>
          </w14:textFill>
        </w:rPr>
        <w:t>（2024）浙0825执清4号</w:t>
      </w:r>
      <w:r>
        <w:rPr>
          <w:rFonts w:hint="eastAsia" w:ascii="宋体" w:hAnsi="宋体" w:cs="华文仿宋"/>
          <w:color w:val="000000" w:themeColor="text1"/>
          <w:sz w:val="28"/>
          <w:szCs w:val="28"/>
          <w:lang w:eastAsia="zh-Hans"/>
          <w14:textFill>
            <w14:solidFill>
              <w14:schemeClr w14:val="tx1"/>
            </w14:solidFill>
          </w14:textFill>
        </w:rPr>
        <w:t>民事裁定书，裁定受理</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的</w:t>
      </w:r>
      <w:r>
        <w:rPr>
          <w:rFonts w:hint="eastAsia" w:ascii="宋体" w:hAnsi="宋体" w:cs="华文仿宋"/>
          <w:color w:val="000000" w:themeColor="text1"/>
          <w:sz w:val="28"/>
          <w:szCs w:val="28"/>
          <w:lang w:eastAsia="zh-Hans"/>
          <w14:textFill>
            <w14:solidFill>
              <w14:schemeClr w14:val="tx1"/>
            </w14:solidFill>
          </w14:textFill>
        </w:rPr>
        <w:t>个人债务集中清理申请</w:t>
      </w:r>
      <w:r>
        <w:rPr>
          <w:rFonts w:ascii="宋体" w:hAnsi="宋体" w:cs="华文仿宋"/>
          <w:color w:val="000000" w:themeColor="text1"/>
          <w:sz w:val="28"/>
          <w:szCs w:val="28"/>
          <w:lang w:eastAsia="zh-Hans"/>
          <w14:textFill>
            <w14:solidFill>
              <w14:schemeClr w14:val="tx1"/>
            </w14:solidFill>
          </w14:textFill>
        </w:rPr>
        <w:t>，</w:t>
      </w:r>
      <w:r>
        <w:rPr>
          <w:rFonts w:hint="eastAsia" w:ascii="宋体" w:hAnsi="宋体" w:cs="华文仿宋"/>
          <w:color w:val="000000" w:themeColor="text1"/>
          <w:sz w:val="28"/>
          <w:szCs w:val="28"/>
          <w:lang w:eastAsia="zh-Hans"/>
          <w14:textFill>
            <w14:solidFill>
              <w14:schemeClr w14:val="tx1"/>
            </w14:solidFill>
          </w14:textFill>
        </w:rPr>
        <w:t>并于</w:t>
      </w:r>
      <w:r>
        <w:rPr>
          <w:rFonts w:hint="eastAsia" w:ascii="宋体" w:hAnsi="宋体" w:cs="华文仿宋"/>
          <w:color w:val="000000" w:themeColor="text1"/>
          <w:sz w:val="28"/>
          <w:szCs w:val="28"/>
          <w14:textFill>
            <w14:solidFill>
              <w14:schemeClr w14:val="tx1"/>
            </w14:solidFill>
          </w14:textFill>
        </w:rPr>
        <w:t>同日</w:t>
      </w:r>
      <w:r>
        <w:rPr>
          <w:rFonts w:hint="eastAsia" w:ascii="宋体" w:hAnsi="宋体" w:cs="华文仿宋"/>
          <w:color w:val="000000" w:themeColor="text1"/>
          <w:sz w:val="28"/>
          <w:szCs w:val="28"/>
          <w:lang w:eastAsia="zh-Hans"/>
          <w14:textFill>
            <w14:solidFill>
              <w14:schemeClr w14:val="tx1"/>
            </w14:solidFill>
          </w14:textFill>
        </w:rPr>
        <w:t>作出</w:t>
      </w:r>
      <w:r>
        <w:rPr>
          <w:rFonts w:hint="eastAsia" w:ascii="宋体" w:hAnsi="宋体" w:cs="华文仿宋"/>
          <w:color w:val="000000" w:themeColor="text1"/>
          <w:sz w:val="28"/>
          <w:szCs w:val="28"/>
          <w:lang w:eastAsia="zh-CN"/>
          <w14:textFill>
            <w14:solidFill>
              <w14:schemeClr w14:val="tx1"/>
            </w14:solidFill>
          </w14:textFill>
        </w:rPr>
        <w:t>（2024）浙0825执清4号</w:t>
      </w:r>
      <w:r>
        <w:rPr>
          <w:rFonts w:hint="eastAsia" w:ascii="宋体" w:hAnsi="宋体" w:cs="华文仿宋"/>
          <w:color w:val="000000" w:themeColor="text1"/>
          <w:sz w:val="28"/>
          <w:szCs w:val="28"/>
          <w:lang w:eastAsia="zh-Hans"/>
          <w14:textFill>
            <w14:solidFill>
              <w14:schemeClr w14:val="tx1"/>
            </w14:solidFill>
          </w14:textFill>
        </w:rPr>
        <w:t>决定书</w:t>
      </w:r>
      <w:r>
        <w:rPr>
          <w:rFonts w:ascii="宋体" w:hAnsi="宋体" w:cs="华文仿宋"/>
          <w:color w:val="000000" w:themeColor="text1"/>
          <w:sz w:val="28"/>
          <w:szCs w:val="28"/>
          <w:lang w:eastAsia="zh-Hans"/>
          <w14:textFill>
            <w14:solidFill>
              <w14:schemeClr w14:val="tx1"/>
            </w14:solidFill>
          </w14:textFill>
        </w:rPr>
        <w:t>，</w:t>
      </w:r>
      <w:r>
        <w:rPr>
          <w:rFonts w:hint="eastAsia" w:ascii="宋体" w:hAnsi="宋体" w:cs="华文仿宋"/>
          <w:color w:val="000000" w:themeColor="text1"/>
          <w:sz w:val="28"/>
          <w:szCs w:val="28"/>
          <w14:textFill>
            <w14:solidFill>
              <w14:schemeClr w14:val="tx1"/>
            </w14:solidFill>
          </w14:textFill>
        </w:rPr>
        <w:t>指定</w:t>
      </w:r>
      <w:r>
        <w:rPr>
          <w:rFonts w:hint="eastAsia" w:ascii="宋体" w:hAnsi="宋体" w:cs="华文仿宋"/>
          <w:color w:val="000000" w:themeColor="text1"/>
          <w:sz w:val="28"/>
          <w:szCs w:val="28"/>
          <w:lang w:eastAsia="zh-CN"/>
          <w14:textFill>
            <w14:solidFill>
              <w14:schemeClr w14:val="tx1"/>
            </w14:solidFill>
          </w14:textFill>
        </w:rPr>
        <w:t>浙江三善律师事务所</w:t>
      </w:r>
      <w:r>
        <w:rPr>
          <w:rFonts w:hint="eastAsia" w:ascii="宋体" w:hAnsi="宋体" w:cs="华文仿宋"/>
          <w:color w:val="000000" w:themeColor="text1"/>
          <w:sz w:val="28"/>
          <w:szCs w:val="28"/>
          <w14:textFill>
            <w14:solidFill>
              <w14:schemeClr w14:val="tx1"/>
            </w14:solidFill>
          </w14:textFill>
        </w:rPr>
        <w:t>担任</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管理人（以下简称“管理人”）。为保证</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个人债务集中清理工作顺利进行，现就有关债权申报、登记及审查事项通知如下：</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b w:val="0"/>
          <w:bCs w:val="0"/>
          <w:color w:val="000000" w:themeColor="text1"/>
          <w:sz w:val="28"/>
          <w:szCs w:val="28"/>
          <w:lang w:eastAsia="zh-Hans"/>
          <w14:textFill>
            <w14:solidFill>
              <w14:schemeClr w14:val="tx1"/>
            </w14:solidFill>
          </w14:textFill>
        </w:rPr>
      </w:pPr>
      <w:r>
        <w:rPr>
          <w:rFonts w:hint="eastAsia" w:ascii="宋体" w:hAnsi="宋体" w:cs="华文仿宋"/>
          <w:b w:val="0"/>
          <w:bCs w:val="0"/>
          <w:color w:val="000000" w:themeColor="text1"/>
          <w:sz w:val="28"/>
          <w:szCs w:val="28"/>
          <w14:textFill>
            <w14:solidFill>
              <w14:schemeClr w14:val="tx1"/>
            </w14:solidFill>
          </w14:textFill>
        </w:rPr>
        <w:t>根据</w:t>
      </w:r>
      <w:r>
        <w:rPr>
          <w:rFonts w:hint="eastAsia" w:ascii="宋体" w:hAnsi="宋体" w:cs="华文仿宋"/>
          <w:b w:val="0"/>
          <w:bCs w:val="0"/>
          <w:color w:val="000000" w:themeColor="text1"/>
          <w:sz w:val="28"/>
          <w:szCs w:val="28"/>
          <w:lang w:eastAsia="zh-CN"/>
          <w14:textFill>
            <w14:solidFill>
              <w14:schemeClr w14:val="tx1"/>
            </w14:solidFill>
          </w14:textFill>
        </w:rPr>
        <w:t>龙游县人民法院</w:t>
      </w:r>
      <w:r>
        <w:rPr>
          <w:rFonts w:hint="eastAsia" w:ascii="宋体" w:hAnsi="宋体" w:cs="华文仿宋"/>
          <w:b w:val="0"/>
          <w:bCs w:val="0"/>
          <w:color w:val="000000" w:themeColor="text1"/>
          <w:sz w:val="28"/>
          <w:szCs w:val="28"/>
          <w14:textFill>
            <w14:solidFill>
              <w14:schemeClr w14:val="tx1"/>
            </w14:solidFill>
          </w14:textFill>
        </w:rPr>
        <w:t>发布的公告，</w:t>
      </w:r>
      <w:r>
        <w:rPr>
          <w:rFonts w:hint="eastAsia" w:ascii="宋体" w:hAnsi="宋体" w:cs="华文仿宋"/>
          <w:b w:val="0"/>
          <w:bCs w:val="0"/>
          <w:color w:val="000000" w:themeColor="text1"/>
          <w:sz w:val="28"/>
          <w:szCs w:val="28"/>
          <w:lang w:eastAsia="zh-CN"/>
          <w14:textFill>
            <w14:solidFill>
              <w14:schemeClr w14:val="tx1"/>
            </w14:solidFill>
          </w14:textFill>
        </w:rPr>
        <w:t>徐超</w:t>
      </w:r>
      <w:r>
        <w:rPr>
          <w:rFonts w:hint="eastAsia" w:ascii="宋体" w:hAnsi="宋体" w:cs="华文仿宋"/>
          <w:b w:val="0"/>
          <w:bCs w:val="0"/>
          <w:color w:val="000000" w:themeColor="text1"/>
          <w:sz w:val="28"/>
          <w:szCs w:val="28"/>
          <w:lang w:eastAsia="zh-Hans"/>
          <w14:textFill>
            <w14:solidFill>
              <w14:schemeClr w14:val="tx1"/>
            </w14:solidFill>
          </w14:textFill>
        </w:rPr>
        <w:t>的债权人应于</w:t>
      </w:r>
      <w:r>
        <w:rPr>
          <w:rFonts w:hint="eastAsia" w:ascii="宋体" w:hAnsi="宋体" w:cs="华文仿宋"/>
          <w:b w:val="0"/>
          <w:bCs w:val="0"/>
          <w:color w:val="000000" w:themeColor="text1"/>
          <w:sz w:val="28"/>
          <w:szCs w:val="28"/>
          <w:lang w:eastAsia="zh-CN"/>
          <w14:textFill>
            <w14:solidFill>
              <w14:schemeClr w14:val="tx1"/>
            </w14:solidFill>
          </w14:textFill>
        </w:rPr>
        <w:t>2024年6月10日</w:t>
      </w:r>
      <w:r>
        <w:rPr>
          <w:rFonts w:hint="eastAsia" w:ascii="宋体" w:hAnsi="宋体" w:cs="华文仿宋"/>
          <w:b w:val="0"/>
          <w:bCs w:val="0"/>
          <w:color w:val="000000" w:themeColor="text1"/>
          <w:sz w:val="28"/>
          <w:szCs w:val="28"/>
          <w:lang w:eastAsia="zh-Hans"/>
          <w14:textFill>
            <w14:solidFill>
              <w14:schemeClr w14:val="tx1"/>
            </w14:solidFill>
          </w14:textFill>
        </w:rPr>
        <w:t>前向管理人</w:t>
      </w:r>
      <w:r>
        <w:rPr>
          <w:rFonts w:hint="eastAsia" w:ascii="宋体" w:hAnsi="宋体" w:cs="华文仿宋"/>
          <w:b w:val="0"/>
          <w:bCs w:val="0"/>
          <w:color w:val="000000" w:themeColor="text1"/>
          <w:sz w:val="28"/>
          <w:szCs w:val="28"/>
          <w:lang w:eastAsia="zh-CN"/>
          <w14:textFill>
            <w14:solidFill>
              <w14:schemeClr w14:val="tx1"/>
            </w14:solidFill>
          </w14:textFill>
        </w:rPr>
        <w:t>【</w:t>
      </w:r>
      <w:r>
        <w:rPr>
          <w:rFonts w:hint="eastAsia" w:ascii="宋体" w:hAnsi="宋体" w:cs="华文仿宋"/>
          <w:b w:val="0"/>
          <w:bCs w:val="0"/>
          <w:color w:val="000000" w:themeColor="text1"/>
          <w:sz w:val="28"/>
          <w:szCs w:val="28"/>
          <w:lang w:val="en-US" w:eastAsia="zh-CN"/>
          <w14:textFill>
            <w14:solidFill>
              <w14:schemeClr w14:val="tx1"/>
            </w14:solidFill>
          </w14:textFill>
        </w:rPr>
        <w:t>通讯</w:t>
      </w:r>
      <w:r>
        <w:rPr>
          <w:rFonts w:hint="eastAsia" w:ascii="宋体" w:hAnsi="宋体" w:cs="华文仿宋"/>
          <w:b w:val="0"/>
          <w:bCs w:val="0"/>
          <w:color w:val="000000" w:themeColor="text1"/>
          <w:sz w:val="28"/>
          <w:szCs w:val="28"/>
          <w14:textFill>
            <w14:solidFill>
              <w14:schemeClr w14:val="tx1"/>
            </w14:solidFill>
          </w14:textFill>
        </w:rPr>
        <w:t>地址：浙江省衢州市衢江区振兴东路78号泰隆金融大厦13层，浙江三善律师事务所，邮政编码：324000；联系人：毛建荣</w:t>
      </w:r>
      <w:r>
        <w:rPr>
          <w:rFonts w:hint="eastAsia" w:ascii="宋体" w:hAnsi="宋体" w:cs="华文仿宋"/>
          <w:b w:val="0"/>
          <w:bCs w:val="0"/>
          <w:color w:val="000000" w:themeColor="text1"/>
          <w:sz w:val="28"/>
          <w:szCs w:val="28"/>
          <w:lang w:eastAsia="zh-CN"/>
          <w14:textFill>
            <w14:solidFill>
              <w14:schemeClr w14:val="tx1"/>
            </w14:solidFill>
          </w14:textFill>
        </w:rPr>
        <w:t>，</w:t>
      </w:r>
      <w:r>
        <w:rPr>
          <w:rFonts w:hint="eastAsia" w:ascii="宋体" w:hAnsi="宋体" w:cs="华文仿宋"/>
          <w:b w:val="0"/>
          <w:bCs w:val="0"/>
          <w:color w:val="000000" w:themeColor="text1"/>
          <w:sz w:val="28"/>
          <w:szCs w:val="28"/>
          <w14:textFill>
            <w14:solidFill>
              <w14:schemeClr w14:val="tx1"/>
            </w14:solidFill>
          </w14:textFill>
        </w:rPr>
        <w:t>联系电话：13357028292；联系人：郑朱军</w:t>
      </w:r>
      <w:r>
        <w:rPr>
          <w:rFonts w:hint="eastAsia" w:ascii="宋体" w:hAnsi="宋体" w:cs="华文仿宋"/>
          <w:b w:val="0"/>
          <w:bCs w:val="0"/>
          <w:color w:val="000000" w:themeColor="text1"/>
          <w:sz w:val="28"/>
          <w:szCs w:val="28"/>
          <w:lang w:eastAsia="zh-CN"/>
          <w14:textFill>
            <w14:solidFill>
              <w14:schemeClr w14:val="tx1"/>
            </w14:solidFill>
          </w14:textFill>
        </w:rPr>
        <w:t>，</w:t>
      </w:r>
      <w:r>
        <w:rPr>
          <w:rFonts w:hint="eastAsia" w:ascii="宋体" w:hAnsi="宋体" w:cs="华文仿宋"/>
          <w:b w:val="0"/>
          <w:bCs w:val="0"/>
          <w:color w:val="000000" w:themeColor="text1"/>
          <w:sz w:val="28"/>
          <w:szCs w:val="28"/>
          <w14:textFill>
            <w14:solidFill>
              <w14:schemeClr w14:val="tx1"/>
            </w14:solidFill>
          </w14:textFill>
        </w:rPr>
        <w:t>联系电话：18457087585；联系人：毛奕恺</w:t>
      </w:r>
      <w:r>
        <w:rPr>
          <w:rFonts w:hint="eastAsia" w:ascii="宋体" w:hAnsi="宋体" w:cs="华文仿宋"/>
          <w:b w:val="0"/>
          <w:bCs w:val="0"/>
          <w:color w:val="000000" w:themeColor="text1"/>
          <w:sz w:val="28"/>
          <w:szCs w:val="28"/>
          <w:lang w:eastAsia="zh-CN"/>
          <w14:textFill>
            <w14:solidFill>
              <w14:schemeClr w14:val="tx1"/>
            </w14:solidFill>
          </w14:textFill>
        </w:rPr>
        <w:t>，</w:t>
      </w:r>
      <w:r>
        <w:rPr>
          <w:rFonts w:hint="eastAsia" w:ascii="宋体" w:hAnsi="宋体" w:cs="华文仿宋"/>
          <w:b w:val="0"/>
          <w:bCs w:val="0"/>
          <w:color w:val="000000" w:themeColor="text1"/>
          <w:sz w:val="28"/>
          <w:szCs w:val="28"/>
          <w14:textFill>
            <w14:solidFill>
              <w14:schemeClr w14:val="tx1"/>
            </w14:solidFill>
          </w14:textFill>
        </w:rPr>
        <w:t>联系电话：18605706018</w:t>
      </w:r>
      <w:r>
        <w:rPr>
          <w:rFonts w:hint="eastAsia" w:ascii="宋体" w:hAnsi="宋体" w:cs="华文仿宋"/>
          <w:b w:val="0"/>
          <w:bCs w:val="0"/>
          <w:color w:val="000000" w:themeColor="text1"/>
          <w:sz w:val="28"/>
          <w:szCs w:val="28"/>
          <w:lang w:eastAsia="zh-Hans"/>
          <w14:textFill>
            <w14:solidFill>
              <w14:schemeClr w14:val="tx1"/>
            </w14:solidFill>
          </w14:textFill>
        </w:rPr>
        <w:t>】申报债权，书面说明债权数额、有无财产担保及是否属于连带债权，并提供相关证据材料。未在上述期限内申报债权的，可以在债务人的财产最后分配前补充申报，但对此前已经进行的分配无权要求补充分配，同时要承担为审查和确认补充申报债权所产生的费用。未申报债权的，不得</w:t>
      </w:r>
      <w:r>
        <w:rPr>
          <w:rFonts w:hint="eastAsia" w:ascii="宋体" w:hAnsi="宋体" w:cs="华文仿宋"/>
          <w:b w:val="0"/>
          <w:bCs w:val="0"/>
          <w:color w:val="000000" w:themeColor="text1"/>
          <w:sz w:val="28"/>
          <w:szCs w:val="28"/>
          <w14:textFill>
            <w14:solidFill>
              <w14:schemeClr w14:val="tx1"/>
            </w14:solidFill>
          </w14:textFill>
        </w:rPr>
        <w:t>在</w:t>
      </w:r>
      <w:r>
        <w:rPr>
          <w:rFonts w:hint="eastAsia" w:ascii="宋体" w:hAnsi="宋体" w:cs="华文仿宋"/>
          <w:b w:val="0"/>
          <w:bCs w:val="0"/>
          <w:color w:val="000000" w:themeColor="text1"/>
          <w:sz w:val="28"/>
          <w:szCs w:val="28"/>
          <w:lang w:eastAsia="zh-Hans"/>
          <w14:textFill>
            <w14:solidFill>
              <w14:schemeClr w14:val="tx1"/>
            </w14:solidFill>
          </w14:textFill>
        </w:rPr>
        <w:t>个人债务集中清理</w:t>
      </w:r>
      <w:r>
        <w:rPr>
          <w:rFonts w:hint="eastAsia" w:ascii="宋体" w:hAnsi="宋体" w:cs="华文仿宋"/>
          <w:b w:val="0"/>
          <w:bCs w:val="0"/>
          <w:color w:val="000000" w:themeColor="text1"/>
          <w:sz w:val="28"/>
          <w:szCs w:val="28"/>
          <w14:textFill>
            <w14:solidFill>
              <w14:schemeClr w14:val="tx1"/>
            </w14:solidFill>
          </w14:textFill>
        </w:rPr>
        <w:t>程序中</w:t>
      </w:r>
      <w:r>
        <w:rPr>
          <w:rFonts w:hint="eastAsia" w:ascii="宋体" w:hAnsi="宋体" w:cs="华文仿宋"/>
          <w:b w:val="0"/>
          <w:bCs w:val="0"/>
          <w:color w:val="000000" w:themeColor="text1"/>
          <w:sz w:val="28"/>
          <w:szCs w:val="28"/>
          <w:lang w:eastAsia="zh-Hans"/>
          <w14:textFill>
            <w14:solidFill>
              <w14:schemeClr w14:val="tx1"/>
            </w14:solidFill>
          </w14:textFill>
        </w:rPr>
        <w:t>行使权利。为保障债权人利益</w:t>
      </w:r>
      <w:r>
        <w:rPr>
          <w:rFonts w:hint="eastAsia" w:ascii="宋体" w:hAnsi="宋体" w:cs="华文仿宋"/>
          <w:b w:val="0"/>
          <w:bCs w:val="0"/>
          <w:color w:val="000000" w:themeColor="text1"/>
          <w:sz w:val="28"/>
          <w:szCs w:val="28"/>
          <w:lang w:eastAsia="zh-CN"/>
          <w14:textFill>
            <w14:solidFill>
              <w14:schemeClr w14:val="tx1"/>
            </w14:solidFill>
          </w14:textFill>
        </w:rPr>
        <w:t>，</w:t>
      </w:r>
      <w:r>
        <w:rPr>
          <w:rFonts w:hint="eastAsia" w:ascii="宋体" w:hAnsi="宋体" w:cs="华文仿宋"/>
          <w:b w:val="0"/>
          <w:bCs w:val="0"/>
          <w:color w:val="000000" w:themeColor="text1"/>
          <w:sz w:val="28"/>
          <w:szCs w:val="28"/>
          <w:lang w:eastAsia="zh-Hans"/>
          <w14:textFill>
            <w14:solidFill>
              <w14:schemeClr w14:val="tx1"/>
            </w14:solidFill>
          </w14:textFill>
        </w:rPr>
        <w:t>请各债权人尽早完成债权申报</w:t>
      </w:r>
      <w:r>
        <w:rPr>
          <w:rFonts w:ascii="宋体" w:hAnsi="宋体" w:cs="华文仿宋"/>
          <w:b w:val="0"/>
          <w:bCs w:val="0"/>
          <w:color w:val="000000" w:themeColor="text1"/>
          <w:sz w:val="28"/>
          <w:szCs w:val="28"/>
          <w:lang w:eastAsia="zh-Hans"/>
          <w14:textFill>
            <w14:solidFill>
              <w14:schemeClr w14:val="tx1"/>
            </w14:solidFill>
          </w14:textFill>
        </w:rPr>
        <w:t>。</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b w:val="0"/>
          <w:bCs w:val="0"/>
          <w:color w:val="000000" w:themeColor="text1"/>
          <w:sz w:val="28"/>
          <w:szCs w:val="28"/>
          <w14:textFill>
            <w14:solidFill>
              <w14:schemeClr w14:val="tx1"/>
            </w14:solidFill>
          </w14:textFill>
        </w:rPr>
      </w:pPr>
      <w:r>
        <w:rPr>
          <w:rFonts w:hint="eastAsia" w:ascii="宋体" w:hAnsi="宋体" w:cs="华文仿宋"/>
          <w:b w:val="0"/>
          <w:bCs w:val="0"/>
          <w:color w:val="000000" w:themeColor="text1"/>
          <w:sz w:val="28"/>
          <w:szCs w:val="28"/>
          <w:lang w:eastAsia="zh-CN"/>
          <w14:textFill>
            <w14:solidFill>
              <w14:schemeClr w14:val="tx1"/>
            </w14:solidFill>
          </w14:textFill>
        </w:rPr>
        <w:t>徐超</w:t>
      </w:r>
      <w:r>
        <w:rPr>
          <w:rFonts w:hint="eastAsia" w:ascii="宋体" w:hAnsi="宋体" w:cs="华文仿宋"/>
          <w:b w:val="0"/>
          <w:bCs w:val="0"/>
          <w:color w:val="000000" w:themeColor="text1"/>
          <w:sz w:val="28"/>
          <w:szCs w:val="28"/>
          <w:lang w:eastAsia="zh-Hans"/>
          <w14:textFill>
            <w14:solidFill>
              <w14:schemeClr w14:val="tx1"/>
            </w14:solidFill>
          </w14:textFill>
        </w:rPr>
        <w:t>个人债务集中清理案件第一次债权人会议将于</w:t>
      </w:r>
      <w:r>
        <w:rPr>
          <w:rFonts w:hint="eastAsia" w:ascii="宋体" w:hAnsi="宋体" w:cs="华文仿宋"/>
          <w:b w:val="0"/>
          <w:bCs w:val="0"/>
          <w:color w:val="000000" w:themeColor="text1"/>
          <w:sz w:val="28"/>
          <w:szCs w:val="28"/>
          <w:lang w:eastAsia="zh-CN"/>
          <w14:textFill>
            <w14:solidFill>
              <w14:schemeClr w14:val="tx1"/>
            </w14:solidFill>
          </w14:textFill>
        </w:rPr>
        <w:t>2024年6月14日15时00分</w:t>
      </w:r>
      <w:r>
        <w:rPr>
          <w:rFonts w:hint="eastAsia" w:ascii="宋体" w:hAnsi="宋体" w:cs="华文仿宋"/>
          <w:b w:val="0"/>
          <w:bCs w:val="0"/>
          <w:color w:val="000000" w:themeColor="text1"/>
          <w:sz w:val="28"/>
          <w:szCs w:val="28"/>
          <w:lang w:eastAsia="zh-Hans"/>
          <w14:textFill>
            <w14:solidFill>
              <w14:schemeClr w14:val="tx1"/>
            </w14:solidFill>
          </w14:textFill>
        </w:rPr>
        <w:t>在</w:t>
      </w:r>
      <w:r>
        <w:rPr>
          <w:rFonts w:hint="eastAsia" w:ascii="宋体" w:hAnsi="宋体" w:cs="华文仿宋"/>
          <w:b w:val="0"/>
          <w:bCs w:val="0"/>
          <w:color w:val="000000" w:themeColor="text1"/>
          <w:sz w:val="28"/>
          <w:szCs w:val="28"/>
          <w:lang w:eastAsia="zh-CN"/>
          <w14:textFill>
            <w14:solidFill>
              <w14:schemeClr w14:val="tx1"/>
            </w14:solidFill>
          </w14:textFill>
        </w:rPr>
        <w:t>龙游县人民法院第八法庭</w:t>
      </w:r>
      <w:r>
        <w:rPr>
          <w:rFonts w:hint="eastAsia" w:ascii="宋体" w:hAnsi="宋体" w:cs="华文仿宋"/>
          <w:b w:val="0"/>
          <w:bCs w:val="0"/>
          <w:color w:val="000000" w:themeColor="text1"/>
          <w:sz w:val="28"/>
          <w:szCs w:val="28"/>
          <w:lang w:eastAsia="zh-Hans"/>
          <w14:textFill>
            <w14:solidFill>
              <w14:schemeClr w14:val="tx1"/>
            </w14:solidFill>
          </w14:textFill>
        </w:rPr>
        <w:t>召开。依法申报债权的债权人有权参加债权人会议。参加会议的债权人系法人或其他组织的，应提交营业执照、法定代表人或负责人身份证明书。参加会议的债权人系自然人的，应提交个人身份证明。如委托代理人出席会议，应提交特别授权委托书、委托代理人的身份证件或律师执业证，委托代理人是律师的还应提交律师事务所的指派函。</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b w:val="0"/>
          <w:bCs w:val="0"/>
          <w:color w:val="000000" w:themeColor="text1"/>
          <w:sz w:val="28"/>
          <w:szCs w:val="28"/>
          <w14:textFill>
            <w14:solidFill>
              <w14:schemeClr w14:val="tx1"/>
            </w14:solidFill>
          </w14:textFill>
        </w:rPr>
      </w:pPr>
      <w:r>
        <w:rPr>
          <w:rFonts w:hint="eastAsia" w:ascii="宋体" w:hAnsi="宋体" w:cs="华文仿宋"/>
          <w:b w:val="0"/>
          <w:bCs w:val="0"/>
          <w:color w:val="000000" w:themeColor="text1"/>
          <w:sz w:val="28"/>
          <w:szCs w:val="28"/>
          <w:lang w:eastAsia="zh-Hans"/>
          <w14:textFill>
            <w14:solidFill>
              <w14:schemeClr w14:val="tx1"/>
            </w14:solidFill>
          </w14:textFill>
        </w:rPr>
        <w:t>依据《</w:t>
      </w:r>
      <w:r>
        <w:rPr>
          <w:rFonts w:ascii="宋体" w:hAnsi="宋体" w:cs="华文仿宋"/>
          <w:b w:val="0"/>
          <w:bCs w:val="0"/>
          <w:color w:val="000000" w:themeColor="text1"/>
          <w:sz w:val="28"/>
          <w:szCs w:val="28"/>
          <w:lang w:eastAsia="zh-Hans"/>
          <w14:textFill>
            <w14:solidFill>
              <w14:schemeClr w14:val="tx1"/>
            </w14:solidFill>
          </w14:textFill>
        </w:rPr>
        <w:t>浙江法院个人债务集中清理（类个人破产）工作指引（试行）</w:t>
      </w:r>
      <w:r>
        <w:rPr>
          <w:rFonts w:hint="eastAsia" w:ascii="宋体" w:hAnsi="宋体" w:cs="华文仿宋"/>
          <w:b w:val="0"/>
          <w:bCs w:val="0"/>
          <w:color w:val="000000" w:themeColor="text1"/>
          <w:sz w:val="28"/>
          <w:szCs w:val="28"/>
          <w:lang w:eastAsia="zh-Hans"/>
          <w14:textFill>
            <w14:solidFill>
              <w14:schemeClr w14:val="tx1"/>
            </w14:solidFill>
          </w14:textFill>
        </w:rPr>
        <w:t>》及</w:t>
      </w:r>
      <w:r>
        <w:rPr>
          <w:rFonts w:hint="eastAsia" w:ascii="宋体" w:hAnsi="宋体" w:cs="华文仿宋"/>
          <w:b w:val="0"/>
          <w:bCs w:val="0"/>
          <w:color w:val="000000" w:themeColor="text1"/>
          <w:sz w:val="28"/>
          <w:szCs w:val="28"/>
          <w14:textFill>
            <w14:solidFill>
              <w14:schemeClr w14:val="tx1"/>
            </w14:solidFill>
          </w14:textFill>
        </w:rPr>
        <w:t>相关法律、法规和司法解释的规定，</w:t>
      </w:r>
      <w:r>
        <w:rPr>
          <w:rFonts w:hint="eastAsia" w:ascii="宋体" w:hAnsi="宋体" w:cs="华文仿宋"/>
          <w:b w:val="0"/>
          <w:bCs w:val="0"/>
          <w:color w:val="000000" w:themeColor="text1"/>
          <w:sz w:val="28"/>
          <w:szCs w:val="28"/>
          <w:lang w:eastAsia="zh-Hans"/>
          <w14:textFill>
            <w14:solidFill>
              <w14:schemeClr w14:val="tx1"/>
            </w14:solidFill>
          </w14:textFill>
        </w:rPr>
        <w:t>管理人现</w:t>
      </w:r>
      <w:r>
        <w:rPr>
          <w:rFonts w:hint="eastAsia" w:ascii="宋体" w:hAnsi="宋体" w:cs="华文仿宋"/>
          <w:b w:val="0"/>
          <w:bCs w:val="0"/>
          <w:color w:val="000000" w:themeColor="text1"/>
          <w:sz w:val="28"/>
          <w:szCs w:val="28"/>
          <w14:textFill>
            <w14:solidFill>
              <w14:schemeClr w14:val="tx1"/>
            </w14:solidFill>
          </w14:textFill>
        </w:rPr>
        <w:t>就有关债权申报、登记及审查事项通知如下：</w:t>
      </w:r>
    </w:p>
    <w:p>
      <w:pPr>
        <w:keepNext w:val="0"/>
        <w:keepLines w:val="0"/>
        <w:pageBreakBefore w:val="0"/>
        <w:kinsoku/>
        <w:overflowPunct/>
        <w:topLinePunct w:val="0"/>
        <w:autoSpaceDE/>
        <w:autoSpaceDN/>
        <w:bidi w:val="0"/>
        <w:snapToGrid w:val="0"/>
        <w:spacing w:line="560" w:lineRule="exact"/>
        <w:ind w:firstLine="561" w:firstLineChars="200"/>
        <w:contextualSpacing/>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一、申报债权的范围</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1.人民法院受理</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lang w:eastAsia="zh-Hans"/>
          <w14:textFill>
            <w14:solidFill>
              <w14:schemeClr w14:val="tx1"/>
            </w14:solidFill>
          </w14:textFill>
        </w:rPr>
        <w:t>个人债务集中清理案件</w:t>
      </w:r>
      <w:r>
        <w:rPr>
          <w:rFonts w:hint="eastAsia" w:ascii="宋体" w:hAnsi="宋体" w:cs="华文仿宋"/>
          <w:color w:val="000000" w:themeColor="text1"/>
          <w:sz w:val="28"/>
          <w:szCs w:val="28"/>
          <w14:textFill>
            <w14:solidFill>
              <w14:schemeClr w14:val="tx1"/>
            </w14:solidFill>
          </w14:textFill>
        </w:rPr>
        <w:t>时（</w:t>
      </w:r>
      <w:r>
        <w:rPr>
          <w:rFonts w:hint="eastAsia" w:ascii="宋体" w:hAnsi="宋体" w:cs="华文仿宋"/>
          <w:color w:val="000000" w:themeColor="text1"/>
          <w:sz w:val="28"/>
          <w:szCs w:val="28"/>
          <w:lang w:eastAsia="zh-CN"/>
          <w14:textFill>
            <w14:solidFill>
              <w14:schemeClr w14:val="tx1"/>
            </w14:solidFill>
          </w14:textFill>
        </w:rPr>
        <w:t>2024年4月11日</w:t>
      </w:r>
      <w:r>
        <w:rPr>
          <w:rFonts w:hint="eastAsia" w:ascii="宋体" w:hAnsi="宋体" w:cs="华文仿宋"/>
          <w:color w:val="000000" w:themeColor="text1"/>
          <w:sz w:val="28"/>
          <w:szCs w:val="28"/>
          <w14:textFill>
            <w14:solidFill>
              <w14:schemeClr w14:val="tx1"/>
            </w14:solidFill>
          </w14:textFill>
        </w:rPr>
        <w:t>）对</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享有到期或未到期债权的债权人，均有权向管理人申报债权</w:t>
      </w:r>
      <w:r>
        <w:rPr>
          <w:rFonts w:hint="eastAsia" w:ascii="宋体" w:hAnsi="宋体" w:cs="华文仿宋"/>
          <w:b/>
          <w:color w:val="000000" w:themeColor="text1"/>
          <w:sz w:val="28"/>
          <w:szCs w:val="28"/>
          <w14:textFill>
            <w14:solidFill>
              <w14:schemeClr w14:val="tx1"/>
            </w14:solidFill>
          </w14:textFill>
        </w:rPr>
        <w:t>。</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2.债权人应当在人民法院确定的债权申报期限内向管理人申报债权。</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3.人民法院受理</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lang w:eastAsia="zh-Hans"/>
          <w14:textFill>
            <w14:solidFill>
              <w14:schemeClr w14:val="tx1"/>
            </w14:solidFill>
          </w14:textFill>
        </w:rPr>
        <w:t>个人债务集中清理案件</w:t>
      </w:r>
      <w:r>
        <w:rPr>
          <w:rFonts w:hint="eastAsia" w:ascii="宋体" w:hAnsi="宋体" w:cs="华文仿宋"/>
          <w:color w:val="000000" w:themeColor="text1"/>
          <w:sz w:val="28"/>
          <w:szCs w:val="28"/>
          <w14:textFill>
            <w14:solidFill>
              <w14:schemeClr w14:val="tx1"/>
            </w14:solidFill>
          </w14:textFill>
        </w:rPr>
        <w:t>时对</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享有的未到期的债权，在</w:t>
      </w:r>
      <w:r>
        <w:rPr>
          <w:rFonts w:hint="eastAsia" w:ascii="宋体" w:hAnsi="宋体" w:cs="华文仿宋"/>
          <w:color w:val="000000" w:themeColor="text1"/>
          <w:sz w:val="28"/>
          <w:szCs w:val="28"/>
          <w:lang w:eastAsia="zh-Hans"/>
          <w14:textFill>
            <w14:solidFill>
              <w14:schemeClr w14:val="tx1"/>
            </w14:solidFill>
          </w14:textFill>
        </w:rPr>
        <w:t>个人债务集中清理</w:t>
      </w:r>
      <w:r>
        <w:rPr>
          <w:rFonts w:hint="eastAsia" w:ascii="宋体" w:hAnsi="宋体" w:cs="华文仿宋"/>
          <w:color w:val="000000" w:themeColor="text1"/>
          <w:sz w:val="28"/>
          <w:szCs w:val="28"/>
          <w14:textFill>
            <w14:solidFill>
              <w14:schemeClr w14:val="tx1"/>
            </w14:solidFill>
          </w14:textFill>
        </w:rPr>
        <w:t>申请受理时视为债权到期，附利息的债权，自</w:t>
      </w:r>
      <w:r>
        <w:rPr>
          <w:rFonts w:hint="eastAsia" w:ascii="宋体" w:hAnsi="宋体" w:cs="华文仿宋"/>
          <w:color w:val="000000" w:themeColor="text1"/>
          <w:sz w:val="28"/>
          <w:szCs w:val="28"/>
          <w:lang w:eastAsia="zh-Hans"/>
          <w14:textFill>
            <w14:solidFill>
              <w14:schemeClr w14:val="tx1"/>
            </w14:solidFill>
          </w14:textFill>
        </w:rPr>
        <w:t>个人债务集中清理</w:t>
      </w:r>
      <w:r>
        <w:rPr>
          <w:rFonts w:hint="eastAsia" w:ascii="宋体" w:hAnsi="宋体" w:cs="华文仿宋"/>
          <w:color w:val="000000" w:themeColor="text1"/>
          <w:sz w:val="28"/>
          <w:szCs w:val="28"/>
          <w14:textFill>
            <w14:solidFill>
              <w14:schemeClr w14:val="tx1"/>
            </w14:solidFill>
          </w14:textFill>
        </w:rPr>
        <w:t>申请受理时起停止计息。</w:t>
      </w:r>
      <w:r>
        <w:rPr>
          <w:rFonts w:hint="eastAsia" w:ascii="宋体" w:hAnsi="宋体" w:cs="华文仿宋"/>
          <w:b/>
          <w:color w:val="000000" w:themeColor="text1"/>
          <w:sz w:val="28"/>
          <w:szCs w:val="28"/>
          <w14:textFill>
            <w14:solidFill>
              <w14:schemeClr w14:val="tx1"/>
            </w14:solidFill>
          </w14:textFill>
        </w:rPr>
        <w:t>本案计息（包括违约金、滞纳金、损失赔偿等派生债权）截止日期为</w:t>
      </w:r>
      <w:r>
        <w:rPr>
          <w:rFonts w:hint="eastAsia" w:ascii="宋体" w:hAnsi="宋体" w:cs="华文仿宋"/>
          <w:b/>
          <w:color w:val="000000" w:themeColor="text1"/>
          <w:sz w:val="28"/>
          <w:szCs w:val="28"/>
          <w:lang w:eastAsia="zh-CN"/>
          <w14:textFill>
            <w14:solidFill>
              <w14:schemeClr w14:val="tx1"/>
            </w14:solidFill>
          </w14:textFill>
        </w:rPr>
        <w:t>2024年4月11日</w:t>
      </w:r>
      <w:r>
        <w:rPr>
          <w:rFonts w:hint="eastAsia" w:ascii="宋体" w:hAnsi="宋体" w:cs="华文仿宋"/>
          <w:b/>
          <w:color w:val="000000" w:themeColor="text1"/>
          <w:sz w:val="28"/>
          <w:szCs w:val="28"/>
          <w14:textFill>
            <w14:solidFill>
              <w14:schemeClr w14:val="tx1"/>
            </w14:solidFill>
          </w14:textFill>
        </w:rPr>
        <w:t>（不含当日）。</w:t>
      </w:r>
    </w:p>
    <w:p>
      <w:pPr>
        <w:keepNext w:val="0"/>
        <w:keepLines w:val="0"/>
        <w:pageBreakBefore w:val="0"/>
        <w:kinsoku/>
        <w:overflowPunct/>
        <w:topLinePunct w:val="0"/>
        <w:autoSpaceDE/>
        <w:autoSpaceDN/>
        <w:bidi w:val="0"/>
        <w:snapToGrid w:val="0"/>
        <w:spacing w:line="560" w:lineRule="exact"/>
        <w:ind w:left="1"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4.附条件、附期限的债权和诉讼、仲裁未决的债权，债权人可以申报。</w:t>
      </w:r>
    </w:p>
    <w:p>
      <w:pPr>
        <w:keepNext w:val="0"/>
        <w:keepLines w:val="0"/>
        <w:pageBreakBefore w:val="0"/>
        <w:kinsoku/>
        <w:overflowPunct/>
        <w:topLinePunct w:val="0"/>
        <w:autoSpaceDE/>
        <w:autoSpaceDN/>
        <w:bidi w:val="0"/>
        <w:snapToGrid w:val="0"/>
        <w:spacing w:line="560" w:lineRule="exact"/>
        <w:ind w:left="1"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5.债权人申报债权时，应当书面说明债权的数额和有无财产担保，并提交有关证据。</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6.连带债权人可以由其中一人代表全体连带债权人申报债权，也可以共同申报债权。</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7.</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的保证人或者其他连带</w:t>
      </w:r>
      <w:r>
        <w:rPr>
          <w:rFonts w:hint="eastAsia" w:ascii="宋体" w:hAnsi="宋体" w:cs="华文仿宋"/>
          <w:color w:val="000000" w:themeColor="text1"/>
          <w:sz w:val="28"/>
          <w:szCs w:val="28"/>
          <w:lang w:eastAsia="zh-Hans"/>
          <w14:textFill>
            <w14:solidFill>
              <w14:schemeClr w14:val="tx1"/>
            </w14:solidFill>
          </w14:textFill>
        </w:rPr>
        <w:t>债务人</w:t>
      </w:r>
      <w:r>
        <w:rPr>
          <w:rFonts w:hint="eastAsia" w:ascii="宋体" w:hAnsi="宋体" w:cs="华文仿宋"/>
          <w:color w:val="000000" w:themeColor="text1"/>
          <w:sz w:val="28"/>
          <w:szCs w:val="28"/>
          <w14:textFill>
            <w14:solidFill>
              <w14:schemeClr w14:val="tx1"/>
            </w14:solidFill>
          </w14:textFill>
        </w:rPr>
        <w:t>已经代替</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清偿债务的，可就其对</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的求偿权申报债权。</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的保证人或者其他连带</w:t>
      </w:r>
      <w:r>
        <w:rPr>
          <w:rFonts w:hint="eastAsia" w:ascii="宋体" w:hAnsi="宋体" w:cs="华文仿宋"/>
          <w:color w:val="000000" w:themeColor="text1"/>
          <w:sz w:val="28"/>
          <w:szCs w:val="28"/>
          <w:lang w:eastAsia="zh-Hans"/>
          <w14:textFill>
            <w14:solidFill>
              <w14:schemeClr w14:val="tx1"/>
            </w14:solidFill>
          </w14:textFill>
        </w:rPr>
        <w:t>债务人</w:t>
      </w:r>
      <w:r>
        <w:rPr>
          <w:rFonts w:hint="eastAsia" w:ascii="宋体" w:hAnsi="宋体" w:cs="华文仿宋"/>
          <w:color w:val="000000" w:themeColor="text1"/>
          <w:sz w:val="28"/>
          <w:szCs w:val="28"/>
          <w14:textFill>
            <w14:solidFill>
              <w14:schemeClr w14:val="tx1"/>
            </w14:solidFill>
          </w14:textFill>
        </w:rPr>
        <w:t>尚未代替</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清偿债务的，以其对</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的将来求偿权申报债权。但债权人已经向管理人申报全部债权的除外。</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ascii="宋体" w:hAnsi="宋体" w:cs="华文仿宋"/>
          <w:color w:val="000000" w:themeColor="text1"/>
          <w:sz w:val="28"/>
          <w:szCs w:val="28"/>
          <w14:textFill>
            <w14:solidFill>
              <w14:schemeClr w14:val="tx1"/>
            </w14:solidFill>
          </w14:textFill>
        </w:rPr>
        <w:t>8</w:t>
      </w:r>
      <w:r>
        <w:rPr>
          <w:rFonts w:hint="eastAsia" w:ascii="宋体" w:hAnsi="宋体" w:cs="华文仿宋"/>
          <w:color w:val="000000" w:themeColor="text1"/>
          <w:sz w:val="28"/>
          <w:szCs w:val="28"/>
          <w14:textFill>
            <w14:solidFill>
              <w14:schemeClr w14:val="tx1"/>
            </w14:solidFill>
          </w14:textFill>
        </w:rPr>
        <w:t>.法律规定其他可以申报的债权，债权人可以申报。</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ascii="宋体" w:hAnsi="宋体" w:cs="华文仿宋"/>
          <w:color w:val="000000" w:themeColor="text1"/>
          <w:sz w:val="28"/>
          <w:szCs w:val="28"/>
          <w14:textFill>
            <w14:solidFill>
              <w14:schemeClr w14:val="tx1"/>
            </w14:solidFill>
          </w14:textFill>
        </w:rPr>
        <w:t>9</w:t>
      </w:r>
      <w:r>
        <w:rPr>
          <w:rFonts w:hint="eastAsia" w:ascii="宋体" w:hAnsi="宋体" w:cs="华文仿宋"/>
          <w:color w:val="000000" w:themeColor="text1"/>
          <w:sz w:val="28"/>
          <w:szCs w:val="28"/>
          <w14:textFill>
            <w14:solidFill>
              <w14:schemeClr w14:val="tx1"/>
            </w14:solidFill>
          </w14:textFill>
        </w:rPr>
        <w:t>.债权具有超过诉讼时效、超过申请强制执行期限情形的，管理人将不予确认。</w:t>
      </w:r>
    </w:p>
    <w:p>
      <w:pPr>
        <w:keepNext w:val="0"/>
        <w:keepLines w:val="0"/>
        <w:pageBreakBefore w:val="0"/>
        <w:kinsoku/>
        <w:overflowPunct/>
        <w:topLinePunct w:val="0"/>
        <w:autoSpaceDE/>
        <w:autoSpaceDN/>
        <w:bidi w:val="0"/>
        <w:snapToGrid w:val="0"/>
        <w:spacing w:line="560" w:lineRule="exact"/>
        <w:ind w:firstLine="561" w:firstLineChars="200"/>
        <w:contextualSpacing/>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二、申报债权的时间要求</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债权人应当在人民法院确定的债权申报期限内（</w:t>
      </w:r>
      <w:r>
        <w:rPr>
          <w:rFonts w:hint="eastAsia" w:ascii="宋体" w:hAnsi="宋体" w:cs="华文仿宋"/>
          <w:color w:val="000000" w:themeColor="text1"/>
          <w:sz w:val="28"/>
          <w:szCs w:val="28"/>
          <w:lang w:eastAsia="zh-CN"/>
          <w14:textFill>
            <w14:solidFill>
              <w14:schemeClr w14:val="tx1"/>
            </w14:solidFill>
          </w14:textFill>
        </w:rPr>
        <w:t>2024年6月10日</w:t>
      </w:r>
      <w:r>
        <w:rPr>
          <w:rFonts w:hint="eastAsia" w:ascii="宋体" w:hAnsi="宋体" w:cs="华文仿宋"/>
          <w:color w:val="000000" w:themeColor="text1"/>
          <w:sz w:val="28"/>
          <w:szCs w:val="28"/>
          <w14:textFill>
            <w14:solidFill>
              <w14:schemeClr w14:val="tx1"/>
            </w14:solidFill>
          </w14:textFill>
        </w:rPr>
        <w:t>前）向管理人申报债权。</w:t>
      </w:r>
    </w:p>
    <w:p>
      <w:pPr>
        <w:keepNext w:val="0"/>
        <w:keepLines w:val="0"/>
        <w:pageBreakBefore w:val="0"/>
        <w:kinsoku/>
        <w:overflowPunct/>
        <w:topLinePunct w:val="0"/>
        <w:autoSpaceDE/>
        <w:autoSpaceDN/>
        <w:bidi w:val="0"/>
        <w:snapToGrid w:val="0"/>
        <w:spacing w:line="560" w:lineRule="exact"/>
        <w:ind w:firstLine="561"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三、债权人未申报或逾期申报债权的法律后果</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1.在人民法院确定的债权申报期限内，债权人未申报债权的，可以在</w:t>
      </w:r>
      <w:r>
        <w:rPr>
          <w:rFonts w:hint="eastAsia" w:ascii="宋体" w:hAnsi="宋体" w:cs="华文仿宋"/>
          <w:color w:val="000000" w:themeColor="text1"/>
          <w:sz w:val="28"/>
          <w:szCs w:val="28"/>
          <w:lang w:eastAsia="zh-Hans"/>
          <w14:textFill>
            <w14:solidFill>
              <w14:schemeClr w14:val="tx1"/>
            </w14:solidFill>
          </w14:textFill>
        </w:rPr>
        <w:t>债务人的</w:t>
      </w:r>
      <w:r>
        <w:rPr>
          <w:rFonts w:hint="eastAsia" w:ascii="宋体" w:hAnsi="宋体" w:cs="华文仿宋"/>
          <w:color w:val="000000" w:themeColor="text1"/>
          <w:sz w:val="28"/>
          <w:szCs w:val="28"/>
          <w14:textFill>
            <w14:solidFill>
              <w14:schemeClr w14:val="tx1"/>
            </w14:solidFill>
          </w14:textFill>
        </w:rPr>
        <w:t>财产最后分配前补充申报；但是，此前已进行的分配，不再对其补充分配。为审查和确认补充申报债权的费用，由补充申报人承担。</w:t>
      </w:r>
    </w:p>
    <w:p>
      <w:pPr>
        <w:keepNext w:val="0"/>
        <w:keepLines w:val="0"/>
        <w:pageBreakBefore w:val="0"/>
        <w:kinsoku/>
        <w:overflowPunct/>
        <w:topLinePunct w:val="0"/>
        <w:autoSpaceDE/>
        <w:autoSpaceDN/>
        <w:bidi w:val="0"/>
        <w:snapToGrid w:val="0"/>
        <w:spacing w:line="560" w:lineRule="exact"/>
        <w:ind w:firstLine="560" w:firstLineChars="200"/>
        <w:contextualSpacing/>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2.债权人未申报债权，不得在个人债务集中清理程序中行使权利。</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四、债权申报表填写说明</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1.申报债权的金额必须确定，</w:t>
      </w:r>
      <w:r>
        <w:rPr>
          <w:rFonts w:hint="eastAsia" w:ascii="宋体" w:hAnsi="宋体" w:cs="华文仿宋"/>
          <w:b/>
          <w:color w:val="000000" w:themeColor="text1"/>
          <w:sz w:val="28"/>
          <w:szCs w:val="28"/>
          <w14:textFill>
            <w14:solidFill>
              <w14:schemeClr w14:val="tx1"/>
            </w14:solidFill>
          </w14:textFill>
        </w:rPr>
        <w:t>一个债权人只申报一个债权总额</w:t>
      </w:r>
      <w:r>
        <w:rPr>
          <w:rFonts w:hint="eastAsia" w:ascii="宋体" w:hAnsi="宋体" w:cs="华文仿宋"/>
          <w:color w:val="000000" w:themeColor="text1"/>
          <w:sz w:val="28"/>
          <w:szCs w:val="28"/>
          <w14:textFill>
            <w14:solidFill>
              <w14:schemeClr w14:val="tx1"/>
            </w14:solidFill>
          </w14:textFill>
        </w:rPr>
        <w:t>。申报债权为外币结算的，人民法院受理个人债务集中清理时享有的债权应以</w:t>
      </w:r>
      <w:r>
        <w:rPr>
          <w:rFonts w:hint="eastAsia" w:ascii="宋体" w:hAnsi="宋体" w:cs="华文仿宋"/>
          <w:color w:val="000000" w:themeColor="text1"/>
          <w:sz w:val="28"/>
          <w:szCs w:val="28"/>
          <w:lang w:eastAsia="zh-CN"/>
          <w14:textFill>
            <w14:solidFill>
              <w14:schemeClr w14:val="tx1"/>
            </w14:solidFill>
          </w14:textFill>
        </w:rPr>
        <w:t>2024年4月11日</w:t>
      </w:r>
      <w:r>
        <w:rPr>
          <w:rFonts w:hint="eastAsia" w:ascii="宋体" w:hAnsi="宋体" w:cs="华文仿宋"/>
          <w:color w:val="000000" w:themeColor="text1"/>
          <w:sz w:val="28"/>
          <w:szCs w:val="28"/>
          <w14:textFill>
            <w14:solidFill>
              <w14:schemeClr w14:val="tx1"/>
            </w14:solidFill>
          </w14:textFill>
        </w:rPr>
        <w:t>人民银行公布的同一币种市场交易中间价汇率为准，折算为人民币计算债权额。</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ascii="宋体" w:hAnsi="宋体" w:cs="华文仿宋"/>
          <w:b/>
          <w:bCs/>
          <w:color w:val="000000" w:themeColor="text1"/>
          <w:sz w:val="28"/>
          <w:szCs w:val="28"/>
          <w14:textFill>
            <w14:solidFill>
              <w14:schemeClr w14:val="tx1"/>
            </w14:solidFill>
          </w14:textFill>
        </w:rPr>
      </w:pPr>
      <w:r>
        <w:rPr>
          <w:rFonts w:hint="eastAsia" w:ascii="宋体" w:hAnsi="宋体" w:cs="华文仿宋"/>
          <w:b/>
          <w:bCs/>
          <w:color w:val="000000" w:themeColor="text1"/>
          <w:sz w:val="28"/>
          <w:szCs w:val="28"/>
          <w14:textFill>
            <w14:solidFill>
              <w14:schemeClr w14:val="tx1"/>
            </w14:solidFill>
          </w14:textFill>
        </w:rPr>
        <w:t>2.申报的利息等派生债权涉及多种类的，应逐项列明派生债权具体种类（如：利息、复利、罚息、违约金、滞纳金、损失赔偿金、诉讼费用、仲裁费用、律师费等）及其详细的计算清单。</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3.基本事实书写要求。请简要陈述该债权的形成经过、还款过程，对已开票金额和未开票金额应明确，若涉及合同关系，则该合同是否已经履行完毕应明确。</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4.纸张规格为A4纸，请用蓝、黑墨水笔填写或打印。</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五、申报债权应提交的材料及材料提交顺序要求</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（一）申报债权应提交的材料</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1.《债权申报</w:t>
      </w:r>
      <w:r>
        <w:rPr>
          <w:rFonts w:hint="eastAsia" w:ascii="宋体" w:hAnsi="宋体" w:cs="华文仿宋"/>
          <w:color w:val="000000" w:themeColor="text1"/>
          <w:sz w:val="28"/>
          <w:szCs w:val="28"/>
          <w:lang w:val="en-US" w:eastAsia="zh-CN"/>
          <w14:textFill>
            <w14:solidFill>
              <w14:schemeClr w14:val="tx1"/>
            </w14:solidFill>
          </w14:textFill>
        </w:rPr>
        <w:t>文件</w:t>
      </w:r>
      <w:r>
        <w:rPr>
          <w:rFonts w:hint="eastAsia" w:ascii="宋体" w:hAnsi="宋体" w:cs="华文仿宋"/>
          <w:color w:val="000000" w:themeColor="text1"/>
          <w:sz w:val="28"/>
          <w:szCs w:val="28"/>
          <w14:textFill>
            <w14:solidFill>
              <w14:schemeClr w14:val="tx1"/>
            </w14:solidFill>
          </w14:textFill>
        </w:rPr>
        <w:t>清单》。</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2</w:t>
      </w:r>
      <w:r>
        <w:rPr>
          <w:rFonts w:ascii="宋体" w:hAnsi="宋体" w:cs="华文仿宋"/>
          <w:color w:val="000000" w:themeColor="text1"/>
          <w:sz w:val="28"/>
          <w:szCs w:val="28"/>
          <w14:textFill>
            <w14:solidFill>
              <w14:schemeClr w14:val="tx1"/>
            </w14:solidFill>
          </w14:textFill>
        </w:rPr>
        <w:t>.</w:t>
      </w:r>
      <w:r>
        <w:rPr>
          <w:rFonts w:hint="eastAsia" w:ascii="宋体" w:hAnsi="宋体" w:cs="华文仿宋"/>
          <w:color w:val="000000" w:themeColor="text1"/>
          <w:sz w:val="28"/>
          <w:szCs w:val="28"/>
          <w14:textFill>
            <w14:solidFill>
              <w14:schemeClr w14:val="tx1"/>
            </w14:solidFill>
          </w14:textFill>
        </w:rPr>
        <w:t>《债权申报表》。</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3</w:t>
      </w:r>
      <w:r>
        <w:rPr>
          <w:rFonts w:ascii="宋体" w:hAnsi="宋体" w:cs="华文仿宋"/>
          <w:color w:val="000000" w:themeColor="text1"/>
          <w:sz w:val="28"/>
          <w:szCs w:val="28"/>
          <w14:textFill>
            <w14:solidFill>
              <w14:schemeClr w14:val="tx1"/>
            </w14:solidFill>
          </w14:textFill>
        </w:rPr>
        <w:t>.</w:t>
      </w:r>
      <w:r>
        <w:rPr>
          <w:rFonts w:hint="eastAsia" w:ascii="宋体" w:hAnsi="宋体" w:cs="华文仿宋"/>
          <w:color w:val="000000" w:themeColor="text1"/>
          <w:sz w:val="28"/>
          <w:szCs w:val="28"/>
          <w14:textFill>
            <w14:solidFill>
              <w14:schemeClr w14:val="tx1"/>
            </w14:solidFill>
          </w14:textFill>
        </w:rPr>
        <w:t>债权人主体资格材料。单位债权人营业执照副本复印件及《法定代表人/负责人身份证明书》（均需加盖公章）、法定代表人/负责人身份证复印件（本人签名）。自然人债权人身份证复印件（本人签名）。</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4</w:t>
      </w:r>
      <w:r>
        <w:rPr>
          <w:rFonts w:ascii="宋体" w:hAnsi="宋体" w:cs="华文仿宋"/>
          <w:color w:val="000000" w:themeColor="text1"/>
          <w:sz w:val="28"/>
          <w:szCs w:val="28"/>
          <w14:textFill>
            <w14:solidFill>
              <w14:schemeClr w14:val="tx1"/>
            </w14:solidFill>
          </w14:textFill>
        </w:rPr>
        <w:t>.</w:t>
      </w:r>
      <w:r>
        <w:rPr>
          <w:rFonts w:hint="eastAsia" w:ascii="宋体" w:hAnsi="宋体" w:cs="华文仿宋"/>
          <w:color w:val="000000" w:themeColor="text1"/>
          <w:sz w:val="28"/>
          <w:szCs w:val="28"/>
          <w14:textFill>
            <w14:solidFill>
              <w14:schemeClr w14:val="tx1"/>
            </w14:solidFill>
          </w14:textFill>
        </w:rPr>
        <w:t>委托代理人申报的，还需提交《授权委托书》（原件）及委托代理人的身份证件复印件（签字确认）；委托代理人是律师的，应提交其所在律师事务所的指派函（原件）及律师执业证复印件；委托人为债权人配偶、父母子女或其他近亲属的，应提交书面授权委托书及双方的身份证明。</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5</w:t>
      </w:r>
      <w:r>
        <w:rPr>
          <w:rFonts w:ascii="宋体" w:hAnsi="宋体" w:cs="华文仿宋"/>
          <w:color w:val="000000" w:themeColor="text1"/>
          <w:sz w:val="28"/>
          <w:szCs w:val="28"/>
          <w14:textFill>
            <w14:solidFill>
              <w14:schemeClr w14:val="tx1"/>
            </w14:solidFill>
          </w14:textFill>
        </w:rPr>
        <w:t>.</w:t>
      </w:r>
      <w:r>
        <w:rPr>
          <w:rFonts w:hint="eastAsia" w:ascii="宋体" w:hAnsi="宋体" w:cs="华文仿宋"/>
          <w:color w:val="000000" w:themeColor="text1"/>
          <w:sz w:val="28"/>
          <w:szCs w:val="28"/>
          <w14:textFill>
            <w14:solidFill>
              <w14:schemeClr w14:val="tx1"/>
            </w14:solidFill>
          </w14:textFill>
        </w:rPr>
        <w:t>证明债权事实的所有证据材料。</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ascii="宋体" w:hAnsi="宋体" w:cs="华文仿宋"/>
          <w:color w:val="000000" w:themeColor="text1"/>
          <w:sz w:val="28"/>
          <w:szCs w:val="28"/>
          <w14:textFill>
            <w14:solidFill>
              <w14:schemeClr w14:val="tx1"/>
            </w14:solidFill>
          </w14:textFill>
        </w:rPr>
        <w:t>6</w:t>
      </w:r>
      <w:r>
        <w:rPr>
          <w:rFonts w:hint="eastAsia" w:ascii="宋体" w:hAnsi="宋体" w:cs="华文仿宋"/>
          <w:color w:val="000000" w:themeColor="text1"/>
          <w:sz w:val="28"/>
          <w:szCs w:val="28"/>
          <w:lang w:eastAsia="zh-Hans"/>
          <w14:textFill>
            <w14:solidFill>
              <w14:schemeClr w14:val="tx1"/>
            </w14:solidFill>
          </w14:textFill>
        </w:rPr>
        <w:t>.诚信申报承诺书</w:t>
      </w:r>
      <w:r>
        <w:rPr>
          <w:rFonts w:ascii="宋体" w:hAnsi="宋体" w:cs="华文仿宋"/>
          <w:color w:val="000000" w:themeColor="text1"/>
          <w:sz w:val="28"/>
          <w:szCs w:val="28"/>
          <w:lang w:eastAsia="zh-Hans"/>
          <w14:textFill>
            <w14:solidFill>
              <w14:schemeClr w14:val="tx1"/>
            </w14:solidFill>
          </w14:textFill>
        </w:rPr>
        <w:t>。</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申报债权时，应当向管理人提交申报材料一式两份。并书面详细说明债权的性质、数额（具体构成及计算过程）、有无财产担保、申报的债权是否是连带债权，并应提交相关文件材料（债权人或其委托代理人应在申报材料的每一页上自然人签名或单位盖章确认所提交材料的真实性，并须提交申报材料的原件供管理人核对）以证明债权真实、合法、有效存在。管理人如认为债权人提交的文件材料不完整，可要求债权人补充提交文件材料。经过司法程序或仲裁程序的，应同时提交司法部门或仲裁机构出具的相关法律文书及相关法律文书的生效证明文件。</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（二）材料提交顺序要求：按照《债权申报</w:t>
      </w:r>
      <w:r>
        <w:rPr>
          <w:rFonts w:hint="eastAsia" w:ascii="宋体" w:hAnsi="宋体" w:cs="华文仿宋"/>
          <w:b/>
          <w:color w:val="000000" w:themeColor="text1"/>
          <w:sz w:val="28"/>
          <w:szCs w:val="28"/>
          <w:lang w:val="en-US" w:eastAsia="zh-CN"/>
          <w14:textFill>
            <w14:solidFill>
              <w14:schemeClr w14:val="tx1"/>
            </w14:solidFill>
          </w14:textFill>
        </w:rPr>
        <w:t>文件</w:t>
      </w:r>
      <w:r>
        <w:rPr>
          <w:rFonts w:hint="eastAsia" w:ascii="宋体" w:hAnsi="宋体" w:cs="华文仿宋"/>
          <w:b/>
          <w:color w:val="000000" w:themeColor="text1"/>
          <w:sz w:val="28"/>
          <w:szCs w:val="28"/>
          <w14:textFill>
            <w14:solidFill>
              <w14:schemeClr w14:val="tx1"/>
            </w14:solidFill>
          </w14:textFill>
        </w:rPr>
        <w:t>清单》、《债权申报表》、债权人主体资格材料、授权委托材料、证明债权事实的所有证据材料</w:t>
      </w:r>
      <w:r>
        <w:rPr>
          <w:rFonts w:ascii="宋体" w:hAnsi="宋体" w:cs="华文仿宋"/>
          <w:b/>
          <w:color w:val="000000" w:themeColor="text1"/>
          <w:sz w:val="28"/>
          <w:szCs w:val="28"/>
          <w14:textFill>
            <w14:solidFill>
              <w14:schemeClr w14:val="tx1"/>
            </w14:solidFill>
          </w14:textFill>
        </w:rPr>
        <w:t>、诚信申报承诺书</w:t>
      </w:r>
      <w:r>
        <w:rPr>
          <w:rFonts w:hint="eastAsia" w:ascii="宋体" w:hAnsi="宋体" w:cs="华文仿宋"/>
          <w:b/>
          <w:color w:val="000000" w:themeColor="text1"/>
          <w:sz w:val="28"/>
          <w:szCs w:val="28"/>
          <w14:textFill>
            <w14:solidFill>
              <w14:schemeClr w14:val="tx1"/>
            </w14:solidFill>
          </w14:textFill>
        </w:rPr>
        <w:t>的顺序依次提交，特别提示：请勿胶装或使用订书机装订，可用曲别针或其他可拆卸方式固定。</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六、申报方式</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lang w:val="en-US" w:eastAsia="zh-CN"/>
          <w14:textFill>
            <w14:solidFill>
              <w14:schemeClr w14:val="tx1"/>
            </w14:solidFill>
          </w14:textFill>
        </w:rPr>
        <w:t>请各位债权人通过浙江三善律师事务所官网（www.zjsslaw.com）</w:t>
      </w:r>
      <w:bookmarkStart w:id="0" w:name="_GoBack"/>
      <w:bookmarkEnd w:id="0"/>
      <w:r>
        <w:rPr>
          <w:rFonts w:hint="eastAsia" w:ascii="宋体" w:hAnsi="宋体" w:cs="华文仿宋"/>
          <w:color w:val="000000" w:themeColor="text1"/>
          <w:sz w:val="28"/>
          <w:szCs w:val="28"/>
          <w:lang w:val="en-US" w:eastAsia="zh-CN"/>
          <w14:textFill>
            <w14:solidFill>
              <w14:schemeClr w14:val="tx1"/>
            </w14:solidFill>
          </w14:textFill>
        </w:rPr>
        <w:t>或扫描页尾附件二维码自行下载并填写债权申报材料。</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eastAsia="宋体" w:cs="华文仿宋"/>
          <w:color w:val="000000" w:themeColor="text1"/>
          <w:sz w:val="28"/>
          <w:szCs w:val="28"/>
          <w:lang w:eastAsia="zh-CN"/>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债权人有权自公告之日起至</w:t>
      </w:r>
      <w:r>
        <w:rPr>
          <w:rFonts w:hint="eastAsia" w:ascii="宋体" w:hAnsi="宋体" w:cs="华文仿宋"/>
          <w:color w:val="000000" w:themeColor="text1"/>
          <w:sz w:val="28"/>
          <w:szCs w:val="28"/>
          <w:lang w:eastAsia="zh-CN"/>
          <w14:textFill>
            <w14:solidFill>
              <w14:schemeClr w14:val="tx1"/>
            </w14:solidFill>
          </w14:textFill>
        </w:rPr>
        <w:t>2024年6月10日</w:t>
      </w:r>
      <w:r>
        <w:rPr>
          <w:rFonts w:hint="eastAsia" w:ascii="宋体" w:hAnsi="宋体" w:cs="华文仿宋"/>
          <w:color w:val="000000" w:themeColor="text1"/>
          <w:sz w:val="28"/>
          <w:szCs w:val="28"/>
          <w14:textFill>
            <w14:solidFill>
              <w14:schemeClr w14:val="tx1"/>
            </w14:solidFill>
          </w14:textFill>
        </w:rPr>
        <w:t>前向管理人申报债权</w:t>
      </w:r>
      <w:r>
        <w:rPr>
          <w:rFonts w:hint="eastAsia" w:ascii="宋体" w:hAnsi="宋体" w:cs="华文仿宋"/>
          <w:color w:val="000000" w:themeColor="text1"/>
          <w:sz w:val="28"/>
          <w:szCs w:val="28"/>
          <w:lang w:eastAsia="zh-CN"/>
          <w14:textFill>
            <w14:solidFill>
              <w14:schemeClr w14:val="tx1"/>
            </w14:solidFill>
          </w14:textFill>
        </w:rPr>
        <w:t>。债权申报以现场申报为主，如路途较远或有其他特殊情况不方便现场申报，也可通过邮寄方式进行申报，但须根据管理人要求提供原件进行核实。</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申报人应当严格遵守申报秩序，按照管理人的安排，有序申报，并务必携带证据原件当场核对。</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lang w:val="en-US" w:eastAsia="zh-CN"/>
          <w14:textFill>
            <w14:solidFill>
              <w14:schemeClr w14:val="tx1"/>
            </w14:solidFill>
          </w14:textFill>
        </w:rPr>
      </w:pPr>
      <w:r>
        <w:rPr>
          <w:rFonts w:hint="eastAsia" w:ascii="宋体" w:hAnsi="宋体" w:cs="华文仿宋"/>
          <w:color w:val="000000" w:themeColor="text1"/>
          <w:sz w:val="28"/>
          <w:szCs w:val="28"/>
          <w:lang w:val="en-US" w:eastAsia="zh-CN"/>
          <w14:textFill>
            <w14:solidFill>
              <w14:schemeClr w14:val="tx1"/>
            </w14:solidFill>
          </w14:textFill>
        </w:rPr>
        <w:t>申报时间：2024年4月30日至2024年6月10日。工作日上午08:30-12:00，下午14:30-17:30，申报债权时，请提前电话预约。</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（一）现场申报</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地</w:t>
      </w:r>
      <w:r>
        <w:rPr>
          <w:rFonts w:hint="eastAsia" w:ascii="宋体" w:hAnsi="宋体" w:cs="华文仿宋"/>
          <w:color w:val="000000" w:themeColor="text1"/>
          <w:sz w:val="28"/>
          <w:szCs w:val="28"/>
          <w:lang w:val="en-US" w:eastAsia="zh-CN"/>
          <w14:textFill>
            <w14:solidFill>
              <w14:schemeClr w14:val="tx1"/>
            </w14:solidFill>
          </w14:textFill>
        </w:rPr>
        <w:t xml:space="preserve">  </w:t>
      </w:r>
      <w:r>
        <w:rPr>
          <w:rFonts w:hint="eastAsia" w:ascii="宋体" w:hAnsi="宋体" w:cs="华文仿宋"/>
          <w:color w:val="000000" w:themeColor="text1"/>
          <w:sz w:val="28"/>
          <w:szCs w:val="28"/>
          <w14:textFill>
            <w14:solidFill>
              <w14:schemeClr w14:val="tx1"/>
            </w14:solidFill>
          </w14:textFill>
        </w:rPr>
        <w:t>址：浙江省衢州市衢江区振兴东路78号泰隆金融大厦13层浙江三善律师事务所</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lang w:val="en-US" w:eastAsia="zh-CN"/>
          <w14:textFill>
            <w14:solidFill>
              <w14:schemeClr w14:val="tx1"/>
            </w14:solidFill>
          </w14:textFill>
        </w:rPr>
      </w:pPr>
      <w:r>
        <w:rPr>
          <w:rFonts w:hint="eastAsia" w:ascii="宋体" w:hAnsi="宋体" w:cs="华文仿宋"/>
          <w:color w:val="000000" w:themeColor="text1"/>
          <w:sz w:val="28"/>
          <w:szCs w:val="28"/>
          <w:lang w:val="en-US" w:eastAsia="zh-CN"/>
          <w14:textFill>
            <w14:solidFill>
              <w14:schemeClr w14:val="tx1"/>
            </w14:solidFill>
          </w14:textFill>
        </w:rPr>
        <w:t>联系人：毛建荣律师（13357028292）、郑朱军律师（18457087585）、毛奕恺实习律师（18605706018）。</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（二）邮寄申报</w:t>
      </w:r>
      <w:r>
        <w:rPr>
          <w:rFonts w:hint="eastAsia" w:ascii="宋体" w:hAnsi="宋体" w:cs="华文仿宋"/>
          <w:color w:val="000000" w:themeColor="text1"/>
          <w:sz w:val="28"/>
          <w:szCs w:val="28"/>
          <w:lang w:val="en-US" w:eastAsia="zh-CN"/>
          <w14:textFill>
            <w14:solidFill>
              <w14:schemeClr w14:val="tx1"/>
            </w14:solidFill>
          </w14:textFill>
        </w:rPr>
        <w:t>（建议使用邮政特快专递EMS、顺丰寄送材料）</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收件人：</w:t>
      </w: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14:textFill>
            <w14:solidFill>
              <w14:schemeClr w14:val="tx1"/>
            </w14:solidFill>
          </w14:textFill>
        </w:rPr>
        <w:t>管理人</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eastAsia="宋体" w:cs="华文仿宋"/>
          <w:color w:val="000000" w:themeColor="text1"/>
          <w:sz w:val="28"/>
          <w:szCs w:val="28"/>
          <w:lang w:eastAsia="zh-CN"/>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地  址：浙江省衢州市衢江区振兴东路78号泰隆金融大厦13层浙江三善律师事务所</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lang w:val="en-US" w:eastAsia="zh-CN"/>
          <w14:textFill>
            <w14:solidFill>
              <w14:schemeClr w14:val="tx1"/>
            </w14:solidFill>
          </w14:textFill>
        </w:rPr>
      </w:pPr>
      <w:r>
        <w:rPr>
          <w:rFonts w:hint="eastAsia" w:ascii="宋体" w:hAnsi="宋体" w:cs="华文仿宋"/>
          <w:color w:val="000000" w:themeColor="text1"/>
          <w:sz w:val="28"/>
          <w:szCs w:val="28"/>
          <w:lang w:val="en-US" w:eastAsia="zh-CN"/>
          <w14:textFill>
            <w14:solidFill>
              <w14:schemeClr w14:val="tx1"/>
            </w14:solidFill>
          </w14:textFill>
        </w:rPr>
        <w:t>邮编：324022</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lang w:val="en-US" w:eastAsia="zh-CN"/>
          <w14:textFill>
            <w14:solidFill>
              <w14:schemeClr w14:val="tx1"/>
            </w14:solidFill>
          </w14:textFill>
        </w:rPr>
      </w:pPr>
      <w:r>
        <w:rPr>
          <w:rFonts w:hint="eastAsia" w:ascii="宋体" w:hAnsi="宋体" w:cs="华文仿宋"/>
          <w:color w:val="000000" w:themeColor="text1"/>
          <w:sz w:val="28"/>
          <w:szCs w:val="28"/>
          <w:lang w:val="en-US" w:eastAsia="zh-CN"/>
          <w14:textFill>
            <w14:solidFill>
              <w14:schemeClr w14:val="tx1"/>
            </w14:solidFill>
          </w14:textFill>
        </w:rPr>
        <w:t>联系电话：18605706018</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lang w:val="en-US" w:eastAsia="zh-CN"/>
          <w14:textFill>
            <w14:solidFill>
              <w14:schemeClr w14:val="tx1"/>
            </w14:solidFill>
          </w14:textFill>
        </w:rPr>
      </w:pPr>
      <w:r>
        <w:rPr>
          <w:rFonts w:hint="eastAsia" w:ascii="宋体" w:hAnsi="宋体" w:cs="华文仿宋"/>
          <w:color w:val="000000" w:themeColor="text1"/>
          <w:sz w:val="28"/>
          <w:szCs w:val="28"/>
          <w:lang w:val="en-US" w:eastAsia="zh-CN"/>
          <w14:textFill>
            <w14:solidFill>
              <w14:schemeClr w14:val="tx1"/>
            </w14:solidFill>
          </w14:textFill>
        </w:rPr>
        <w:t>邮寄申报材料后，申报人需与管理人确认是否收到申报材料，未经管理人确认的，视为管理人未收到债权申报材料。</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lang w:val="en-US" w:eastAsia="zh-CN"/>
          <w14:textFill>
            <w14:solidFill>
              <w14:schemeClr w14:val="tx1"/>
            </w14:solidFill>
          </w14:textFill>
        </w:rPr>
      </w:pPr>
      <w:r>
        <w:rPr>
          <w:rFonts w:hint="eastAsia" w:ascii="宋体" w:hAnsi="宋体" w:cs="华文仿宋"/>
          <w:color w:val="000000" w:themeColor="text1"/>
          <w:sz w:val="28"/>
          <w:szCs w:val="28"/>
          <w:lang w:val="en-US" w:eastAsia="zh-CN"/>
          <w14:textFill>
            <w14:solidFill>
              <w14:schemeClr w14:val="tx1"/>
            </w14:solidFill>
          </w14:textFill>
        </w:rPr>
        <w:t>管理人收到债权人申报的信息后，将及时审核，并将视审核情况要求债权人提交补充证据材料，必要时提供证据原件予以核对。</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hint="eastAsia" w:ascii="宋体" w:hAnsi="宋体" w:eastAsia="宋体" w:cs="华文仿宋"/>
          <w:b/>
          <w:color w:val="000000" w:themeColor="text1"/>
          <w:sz w:val="28"/>
          <w:szCs w:val="28"/>
          <w14:textFill>
            <w14:solidFill>
              <w14:schemeClr w14:val="tx1"/>
            </w14:solidFill>
          </w14:textFill>
        </w:rPr>
      </w:pPr>
      <w:r>
        <w:rPr>
          <w:rFonts w:hint="eastAsia" w:ascii="宋体" w:hAnsi="宋体" w:eastAsia="宋体" w:cs="华文仿宋"/>
          <w:b/>
          <w:color w:val="000000" w:themeColor="text1"/>
          <w:sz w:val="28"/>
          <w:szCs w:val="28"/>
          <w14:textFill>
            <w14:solidFill>
              <w14:schemeClr w14:val="tx1"/>
            </w14:solidFill>
          </w14:textFill>
        </w:rPr>
        <w:t>七、关于第一次债权人会议提示</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lang w:eastAsia="zh-CN"/>
          <w14:textFill>
            <w14:solidFill>
              <w14:schemeClr w14:val="tx1"/>
            </w14:solidFill>
          </w14:textFill>
        </w:rPr>
        <w:t>徐超</w:t>
      </w:r>
      <w:r>
        <w:rPr>
          <w:rFonts w:hint="eastAsia" w:ascii="宋体" w:hAnsi="宋体" w:cs="华文仿宋"/>
          <w:color w:val="000000" w:themeColor="text1"/>
          <w:sz w:val="28"/>
          <w:szCs w:val="28"/>
          <w:lang w:eastAsia="zh-Hans"/>
          <w14:textFill>
            <w14:solidFill>
              <w14:schemeClr w14:val="tx1"/>
            </w14:solidFill>
          </w14:textFill>
        </w:rPr>
        <w:t>个人债务集中清理案</w:t>
      </w:r>
      <w:r>
        <w:rPr>
          <w:rFonts w:hint="eastAsia" w:ascii="宋体" w:hAnsi="宋体" w:cs="华文仿宋"/>
          <w:b/>
          <w:bCs/>
          <w:color w:val="000000" w:themeColor="text1"/>
          <w:sz w:val="28"/>
          <w:szCs w:val="28"/>
          <w:lang w:eastAsia="zh-Hans"/>
          <w14:textFill>
            <w14:solidFill>
              <w14:schemeClr w14:val="tx1"/>
            </w14:solidFill>
          </w14:textFill>
        </w:rPr>
        <w:t>第一次债权人会议定于</w:t>
      </w:r>
      <w:r>
        <w:rPr>
          <w:rFonts w:hint="eastAsia" w:ascii="宋体" w:hAnsi="宋体" w:cs="华文仿宋"/>
          <w:b/>
          <w:bCs/>
          <w:color w:val="000000" w:themeColor="text1"/>
          <w:sz w:val="28"/>
          <w:szCs w:val="28"/>
          <w:lang w:eastAsia="zh-CN"/>
          <w14:textFill>
            <w14:solidFill>
              <w14:schemeClr w14:val="tx1"/>
            </w14:solidFill>
          </w14:textFill>
        </w:rPr>
        <w:t>2024年6月14日15时00分</w:t>
      </w:r>
      <w:r>
        <w:rPr>
          <w:rFonts w:hint="eastAsia" w:ascii="宋体" w:hAnsi="宋体" w:cs="华文仿宋"/>
          <w:b/>
          <w:bCs/>
          <w:color w:val="000000" w:themeColor="text1"/>
          <w:sz w:val="28"/>
          <w:szCs w:val="28"/>
          <w:lang w:eastAsia="zh-Hans"/>
          <w14:textFill>
            <w14:solidFill>
              <w14:schemeClr w14:val="tx1"/>
            </w14:solidFill>
          </w14:textFill>
        </w:rPr>
        <w:t>在</w:t>
      </w:r>
      <w:r>
        <w:rPr>
          <w:rFonts w:hint="eastAsia" w:ascii="宋体" w:hAnsi="宋体" w:cs="华文仿宋"/>
          <w:b/>
          <w:bCs/>
          <w:color w:val="000000" w:themeColor="text1"/>
          <w:sz w:val="28"/>
          <w:szCs w:val="28"/>
          <w:lang w:eastAsia="zh-CN"/>
          <w14:textFill>
            <w14:solidFill>
              <w14:schemeClr w14:val="tx1"/>
            </w14:solidFill>
          </w14:textFill>
        </w:rPr>
        <w:t>龙游县人民法院第八法庭</w:t>
      </w:r>
      <w:r>
        <w:rPr>
          <w:rFonts w:hint="eastAsia" w:ascii="宋体" w:hAnsi="宋体" w:cs="华文仿宋"/>
          <w:b/>
          <w:bCs/>
          <w:color w:val="000000" w:themeColor="text1"/>
          <w:sz w:val="28"/>
          <w:szCs w:val="28"/>
          <w:lang w:eastAsia="zh-Hans"/>
          <w14:textFill>
            <w14:solidFill>
              <w14:schemeClr w14:val="tx1"/>
            </w14:solidFill>
          </w14:textFill>
        </w:rPr>
        <w:t>召开。</w:t>
      </w:r>
      <w:r>
        <w:rPr>
          <w:rFonts w:hint="eastAsia" w:ascii="宋体" w:hAnsi="宋体"/>
          <w:color w:val="000000" w:themeColor="text1"/>
          <w:sz w:val="28"/>
          <w:szCs w:val="28"/>
          <w14:textFill>
            <w14:solidFill>
              <w14:schemeClr w14:val="tx1"/>
            </w14:solidFill>
          </w14:textFill>
        </w:rPr>
        <w:t>依法申报债权的债权人为债权人会议的成员，有权参加债权人会议。</w:t>
      </w:r>
    </w:p>
    <w:p>
      <w:pPr>
        <w:keepNext w:val="0"/>
        <w:keepLines w:val="0"/>
        <w:pageBreakBefore w:val="0"/>
        <w:kinsoku/>
        <w:overflowPunct/>
        <w:topLinePunct w:val="0"/>
        <w:autoSpaceDE/>
        <w:autoSpaceDN/>
        <w:bidi w:val="0"/>
        <w:snapToGrid w:val="0"/>
        <w:spacing w:line="560" w:lineRule="exact"/>
        <w:ind w:firstLine="561" w:firstLineChars="200"/>
        <w:contextualSpacing/>
        <w:textAlignment w:val="baseline"/>
        <w:outlineLvl w:val="9"/>
        <w:rPr>
          <w:rFonts w:hint="eastAsia" w:ascii="宋体" w:hAnsi="宋体" w:eastAsia="宋体" w:cs="华文仿宋"/>
          <w:b/>
          <w:color w:val="000000" w:themeColor="text1"/>
          <w:sz w:val="28"/>
          <w:szCs w:val="28"/>
          <w14:textFill>
            <w14:solidFill>
              <w14:schemeClr w14:val="tx1"/>
            </w14:solidFill>
          </w14:textFill>
        </w:rPr>
      </w:pPr>
      <w:r>
        <w:rPr>
          <w:rFonts w:hint="eastAsia" w:ascii="宋体" w:hAnsi="宋体" w:eastAsia="宋体" w:cs="华文仿宋"/>
          <w:b/>
          <w:color w:val="000000" w:themeColor="text1"/>
          <w:sz w:val="28"/>
          <w:szCs w:val="28"/>
          <w14:textFill>
            <w14:solidFill>
              <w14:schemeClr w14:val="tx1"/>
            </w14:solidFill>
          </w14:textFill>
        </w:rPr>
        <w:t>八、管理人特别提示</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1．管理人在收到债权申报材料后，将对债权人申报债权的真实性、合法性和时效性等进行全面审查。因此，债权人在申报债权时，务必向管理人全面提供证据材料。</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2．债权人申报虚假债权或提供虚假申报资料，管理人有权移送相关机关追究法律责任。</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3．管理人提供本通知、《债权申报资料清单》、《债权申报表》、《债权人基本信息确认书》、《法定代表人/负责人身份证明书》、《授权委托书》等材料仅为方便债权人申报债权，管理人收到债权人申报资料后将依法对债权进行审查，管理人提供资料及签收申报债权资料的行为并不代表管理人对相关债权及申报资料的真实性、合法性及关联性进行确认。</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4．本须知及其他资料内容与法律法规、司法解释及人民法院司法文件等相关规定不一致的，以法律法规、司法解释及人民法院司法文件等相关规定为准。</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14:textFill>
            <w14:solidFill>
              <w14:schemeClr w14:val="tx1"/>
            </w14:solidFill>
          </w14:textFill>
        </w:rPr>
      </w:pPr>
      <w:r>
        <w:rPr>
          <w:rFonts w:hint="eastAsia" w:ascii="宋体" w:hAnsi="宋体" w:cs="华文仿宋"/>
          <w:color w:val="000000" w:themeColor="text1"/>
          <w:sz w:val="28"/>
          <w:szCs w:val="28"/>
          <w14:textFill>
            <w14:solidFill>
              <w14:schemeClr w14:val="tx1"/>
            </w14:solidFill>
          </w14:textFill>
        </w:rPr>
        <w:t>5.本《债权申报通知书》只是针对债权人申报债权时注意事项及风险告知的特别提示，文本中加粗字体请债权人特别关注。</w:t>
      </w:r>
    </w:p>
    <w:p>
      <w:pPr>
        <w:keepNext w:val="0"/>
        <w:keepLines w:val="0"/>
        <w:pageBreakBefore w:val="0"/>
        <w:kinsoku/>
        <w:overflowPunct/>
        <w:topLinePunct w:val="0"/>
        <w:autoSpaceDE/>
        <w:autoSpaceDN/>
        <w:bidi w:val="0"/>
        <w:snapToGrid w:val="0"/>
        <w:spacing w:line="560" w:lineRule="exact"/>
        <w:ind w:firstLine="560" w:firstLineChars="200"/>
        <w:contextualSpacing/>
        <w:textAlignment w:val="baseline"/>
        <w:outlineLvl w:val="9"/>
        <w:rPr>
          <w:rFonts w:hint="eastAsia" w:ascii="宋体" w:hAnsi="宋体" w:cs="华文仿宋"/>
          <w:color w:val="000000" w:themeColor="text1"/>
          <w:sz w:val="28"/>
          <w:szCs w:val="28"/>
          <w14:textFill>
            <w14:solidFill>
              <w14:schemeClr w14:val="tx1"/>
            </w14:solidFill>
          </w14:textFill>
        </w:rPr>
      </w:pPr>
    </w:p>
    <w:p>
      <w:pPr>
        <w:keepNext w:val="0"/>
        <w:keepLines w:val="0"/>
        <w:pageBreakBefore w:val="0"/>
        <w:kinsoku/>
        <w:wordWrap w:val="0"/>
        <w:overflowPunct/>
        <w:topLinePunct w:val="0"/>
        <w:autoSpaceDE/>
        <w:autoSpaceDN/>
        <w:bidi w:val="0"/>
        <w:snapToGrid w:val="0"/>
        <w:spacing w:line="560" w:lineRule="exact"/>
        <w:ind w:firstLine="561" w:firstLineChars="200"/>
        <w:contextualSpacing/>
        <w:jc w:val="right"/>
        <w:textAlignment w:val="baseline"/>
        <w:outlineLvl w:val="9"/>
        <w:rPr>
          <w:rFonts w:hint="default" w:ascii="宋体" w:hAnsi="宋体" w:eastAsia="宋体" w:cs="华文仿宋"/>
          <w:b/>
          <w:color w:val="000000" w:themeColor="text1"/>
          <w:sz w:val="28"/>
          <w:szCs w:val="28"/>
          <w:lang w:val="en-US" w:eastAsia="zh-CN"/>
          <w14:textFill>
            <w14:solidFill>
              <w14:schemeClr w14:val="tx1"/>
            </w14:solidFill>
          </w14:textFill>
        </w:rPr>
      </w:pPr>
      <w:r>
        <w:rPr>
          <w:rFonts w:hint="eastAsia" w:ascii="宋体" w:hAnsi="宋体" w:cs="华文仿宋"/>
          <w:b/>
          <w:color w:val="000000" w:themeColor="text1"/>
          <w:sz w:val="28"/>
          <w:szCs w:val="28"/>
          <w:lang w:eastAsia="zh-CN"/>
          <w14:textFill>
            <w14:solidFill>
              <w14:schemeClr w14:val="tx1"/>
            </w14:solidFill>
          </w14:textFill>
        </w:rPr>
        <w:t>徐超</w:t>
      </w:r>
      <w:r>
        <w:rPr>
          <w:rFonts w:hint="eastAsia" w:ascii="宋体" w:hAnsi="宋体" w:cs="华文仿宋"/>
          <w:b/>
          <w:color w:val="000000" w:themeColor="text1"/>
          <w:sz w:val="28"/>
          <w:szCs w:val="28"/>
          <w14:textFill>
            <w14:solidFill>
              <w14:schemeClr w14:val="tx1"/>
            </w14:solidFill>
          </w14:textFill>
        </w:rPr>
        <w:t>管理人</w:t>
      </w:r>
      <w:r>
        <w:rPr>
          <w:rFonts w:hint="eastAsia" w:ascii="宋体" w:hAnsi="宋体" w:cs="华文仿宋"/>
          <w:b/>
          <w:color w:val="000000" w:themeColor="text1"/>
          <w:sz w:val="28"/>
          <w:szCs w:val="28"/>
          <w:lang w:val="en-US" w:eastAsia="zh-CN"/>
          <w14:textFill>
            <w14:solidFill>
              <w14:schemeClr w14:val="tx1"/>
            </w14:solidFill>
          </w14:textFill>
        </w:rPr>
        <w:t xml:space="preserve">     </w:t>
      </w:r>
    </w:p>
    <w:p>
      <w:pPr>
        <w:keepNext w:val="0"/>
        <w:keepLines w:val="0"/>
        <w:pageBreakBefore w:val="0"/>
        <w:kinsoku/>
        <w:overflowPunct/>
        <w:topLinePunct w:val="0"/>
        <w:autoSpaceDE/>
        <w:autoSpaceDN/>
        <w:bidi w:val="0"/>
        <w:snapToGrid w:val="0"/>
        <w:spacing w:line="560" w:lineRule="exact"/>
        <w:ind w:firstLine="561" w:firstLineChars="200"/>
        <w:contextualSpacing/>
        <w:jc w:val="right"/>
        <w:outlineLvl w:val="9"/>
        <w:rPr>
          <w:rFonts w:hint="eastAsia" w:ascii="宋体" w:hAnsi="宋体" w:cs="华文仿宋"/>
          <w:b/>
          <w:color w:val="000000" w:themeColor="text1"/>
          <w:sz w:val="28"/>
          <w:szCs w:val="28"/>
          <w14:textFill>
            <w14:solidFill>
              <w14:schemeClr w14:val="tx1"/>
            </w14:solidFill>
          </w14:textFill>
        </w:rPr>
      </w:pPr>
      <w:r>
        <w:rPr>
          <w:rFonts w:hint="eastAsia" w:ascii="宋体" w:hAnsi="宋体" w:cs="华文仿宋"/>
          <w:b/>
          <w:color w:val="000000" w:themeColor="text1"/>
          <w:sz w:val="28"/>
          <w:szCs w:val="28"/>
          <w14:textFill>
            <w14:solidFill>
              <w14:schemeClr w14:val="tx1"/>
            </w14:solidFill>
          </w14:textFill>
        </w:rPr>
        <w:t>二〇二</w:t>
      </w:r>
      <w:r>
        <w:rPr>
          <w:rFonts w:hint="eastAsia" w:ascii="宋体" w:hAnsi="宋体" w:cs="华文仿宋"/>
          <w:b/>
          <w:color w:val="000000" w:themeColor="text1"/>
          <w:sz w:val="28"/>
          <w:szCs w:val="28"/>
          <w:lang w:val="en-US" w:eastAsia="zh-CN"/>
          <w14:textFill>
            <w14:solidFill>
              <w14:schemeClr w14:val="tx1"/>
            </w14:solidFill>
          </w14:textFill>
        </w:rPr>
        <w:t>四</w:t>
      </w:r>
      <w:r>
        <w:rPr>
          <w:rFonts w:hint="eastAsia" w:ascii="宋体" w:hAnsi="宋体" w:cs="华文仿宋"/>
          <w:b/>
          <w:color w:val="000000" w:themeColor="text1"/>
          <w:sz w:val="28"/>
          <w:szCs w:val="28"/>
          <w14:textFill>
            <w14:solidFill>
              <w14:schemeClr w14:val="tx1"/>
            </w14:solidFill>
          </w14:textFill>
        </w:rPr>
        <w:t>年</w:t>
      </w:r>
      <w:r>
        <w:rPr>
          <w:rFonts w:hint="eastAsia" w:ascii="宋体" w:hAnsi="宋体" w:cs="华文仿宋"/>
          <w:b/>
          <w:color w:val="000000" w:themeColor="text1"/>
          <w:sz w:val="28"/>
          <w:szCs w:val="28"/>
          <w:lang w:val="en-US" w:eastAsia="zh-CN"/>
          <w14:textFill>
            <w14:solidFill>
              <w14:schemeClr w14:val="tx1"/>
            </w14:solidFill>
          </w14:textFill>
        </w:rPr>
        <w:t>四</w:t>
      </w:r>
      <w:r>
        <w:rPr>
          <w:rFonts w:hint="eastAsia" w:ascii="宋体" w:hAnsi="宋体" w:cs="华文仿宋"/>
          <w:b/>
          <w:color w:val="000000" w:themeColor="text1"/>
          <w:sz w:val="28"/>
          <w:szCs w:val="28"/>
          <w14:textFill>
            <w14:solidFill>
              <w14:schemeClr w14:val="tx1"/>
            </w14:solidFill>
          </w14:textFill>
        </w:rPr>
        <w:t>月</w:t>
      </w:r>
      <w:r>
        <w:rPr>
          <w:rFonts w:hint="eastAsia" w:ascii="宋体" w:hAnsi="宋体" w:cs="华文仿宋"/>
          <w:b/>
          <w:color w:val="000000" w:themeColor="text1"/>
          <w:sz w:val="28"/>
          <w:szCs w:val="28"/>
          <w:lang w:val="en-US" w:eastAsia="zh-CN"/>
          <w14:textFill>
            <w14:solidFill>
              <w14:schemeClr w14:val="tx1"/>
            </w14:solidFill>
          </w14:textFill>
        </w:rPr>
        <w:t>三十</w:t>
      </w:r>
      <w:r>
        <w:rPr>
          <w:rFonts w:hint="eastAsia" w:ascii="宋体" w:hAnsi="宋体" w:cs="华文仿宋"/>
          <w:b/>
          <w:color w:val="000000" w:themeColor="text1"/>
          <w:sz w:val="28"/>
          <w:szCs w:val="28"/>
          <w14:textFill>
            <w14:solidFill>
              <w14:schemeClr w14:val="tx1"/>
            </w14:solidFill>
          </w14:textFill>
        </w:rPr>
        <w:t>日</w:t>
      </w: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r>
        <w:rPr>
          <w:rFonts w:hint="eastAsia" w:ascii="宋体" w:hAnsi="宋体" w:cs="华文仿宋"/>
          <w:color w:val="000000" w:themeColor="text1"/>
          <w:sz w:val="28"/>
          <w:szCs w:val="28"/>
          <w:lang w:val="en-US" w:eastAsia="zh-Hans"/>
          <w14:textFill>
            <w14:solidFill>
              <w14:schemeClr w14:val="tx1"/>
            </w14:solidFill>
          </w14:textFill>
        </w:rPr>
        <w:t>附件：</w:t>
      </w: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r>
        <w:rPr>
          <w:rFonts w:hint="eastAsia" w:ascii="宋体" w:hAnsi="宋体" w:eastAsia="宋体" w:cs="华文仿宋"/>
          <w:color w:val="000000" w:themeColor="text1"/>
          <w:sz w:val="28"/>
          <w:szCs w:val="28"/>
          <w:lang w:val="en-US" w:eastAsia="zh-CN"/>
          <w14:textFill>
            <w14:solidFill>
              <w14:schemeClr w14:val="tx1"/>
            </w14:solidFill>
          </w14:textFill>
        </w:rPr>
        <w:drawing>
          <wp:anchor distT="0" distB="0" distL="114300" distR="114300" simplePos="0" relativeHeight="251659264" behindDoc="1" locked="0" layoutInCell="1" allowOverlap="1">
            <wp:simplePos x="0" y="0"/>
            <wp:positionH relativeFrom="column">
              <wp:posOffset>3703955</wp:posOffset>
            </wp:positionH>
            <wp:positionV relativeFrom="paragraph">
              <wp:posOffset>183515</wp:posOffset>
            </wp:positionV>
            <wp:extent cx="1521460" cy="1521460"/>
            <wp:effectExtent l="12700" t="12700" r="0" b="0"/>
            <wp:wrapTight wrapText="bothSides">
              <wp:wrapPolygon>
                <wp:start x="-180" y="-180"/>
                <wp:lineTo x="-180" y="21456"/>
                <wp:lineTo x="541" y="21456"/>
                <wp:lineTo x="21456" y="21456"/>
                <wp:lineTo x="21456" y="-180"/>
                <wp:lineTo x="-180" y="-180"/>
              </wp:wrapPolygon>
            </wp:wrapTight>
            <wp:docPr id="1" name="图片 1" descr="徐超个人债务集中清理案债权申报材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徐超个人债务集中清理案债权申报材料"/>
                    <pic:cNvPicPr>
                      <a:picLocks noChangeAspect="1"/>
                    </pic:cNvPicPr>
                  </pic:nvPicPr>
                  <pic:blipFill>
                    <a:blip r:embed="rId10"/>
                    <a:stretch>
                      <a:fillRect/>
                    </a:stretch>
                  </pic:blipFill>
                  <pic:spPr>
                    <a:xfrm>
                      <a:off x="0" y="0"/>
                      <a:ext cx="1521460" cy="1521460"/>
                    </a:xfrm>
                    <a:prstGeom prst="rect">
                      <a:avLst/>
                    </a:prstGeom>
                    <a:ln w="6350" cmpd="sng">
                      <a:solidFill>
                        <a:schemeClr val="tx1"/>
                      </a:solidFill>
                      <a:prstDash val="solid"/>
                    </a:ln>
                  </pic:spPr>
                </pic:pic>
              </a:graphicData>
            </a:graphic>
          </wp:anchor>
        </w:drawing>
      </w:r>
      <w:r>
        <w:rPr>
          <w:rFonts w:hint="eastAsia" w:ascii="宋体" w:hAnsi="宋体" w:eastAsia="宋体" w:cs="华文仿宋"/>
          <w:color w:val="000000" w:themeColor="text1"/>
          <w:sz w:val="28"/>
          <w:szCs w:val="28"/>
          <w:lang w:val="en-US" w:eastAsia="zh-CN"/>
          <w14:textFill>
            <w14:solidFill>
              <w14:schemeClr w14:val="tx1"/>
            </w14:solidFill>
          </w14:textFill>
        </w:rPr>
        <w:t>请各位债权人通过浙江三善律师事务所官网（www.zjsslaw.com）或扫描</w:t>
      </w:r>
      <w:r>
        <w:rPr>
          <w:rFonts w:hint="eastAsia" w:ascii="宋体" w:hAnsi="宋体" w:cs="华文仿宋"/>
          <w:color w:val="000000" w:themeColor="text1"/>
          <w:sz w:val="28"/>
          <w:szCs w:val="28"/>
          <w:lang w:val="en-US" w:eastAsia="zh-CN"/>
          <w14:textFill>
            <w14:solidFill>
              <w14:schemeClr w14:val="tx1"/>
            </w14:solidFill>
          </w14:textFill>
        </w:rPr>
        <w:t>右侧</w:t>
      </w:r>
      <w:r>
        <w:rPr>
          <w:rFonts w:hint="eastAsia" w:ascii="宋体" w:hAnsi="宋体" w:eastAsia="宋体" w:cs="华文仿宋"/>
          <w:color w:val="000000" w:themeColor="text1"/>
          <w:sz w:val="28"/>
          <w:szCs w:val="28"/>
          <w:lang w:val="en-US" w:eastAsia="zh-CN"/>
          <w14:textFill>
            <w14:solidFill>
              <w14:schemeClr w14:val="tx1"/>
            </w14:solidFill>
          </w14:textFill>
        </w:rPr>
        <w:t>二维码自行下载并填写债权申报材料。</w:t>
      </w: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eastAsia="宋体" w:cs="华文仿宋"/>
          <w:color w:val="000000" w:themeColor="text1"/>
          <w:sz w:val="28"/>
          <w:szCs w:val="28"/>
          <w:lang w:val="en-US" w:eastAsia="zh-CN"/>
          <w14:textFill>
            <w14:solidFill>
              <w14:schemeClr w14:val="tx1"/>
            </w14:solidFill>
          </w14:textFill>
        </w:rPr>
      </w:pPr>
      <w:r>
        <w:rPr>
          <w:rFonts w:hint="eastAsia" w:ascii="宋体" w:hAnsi="宋体" w:cs="华文仿宋"/>
          <w:color w:val="000000" w:themeColor="text1"/>
          <w:sz w:val="28"/>
          <w:szCs w:val="28"/>
          <w:lang w:val="en-US" w:eastAsia="zh-Hans"/>
          <w14:textFill>
            <w14:solidFill>
              <w14:schemeClr w14:val="tx1"/>
            </w14:solidFill>
          </w14:textFill>
        </w:rPr>
        <w:t>1．债权申报通知书（请务必仔细阅读）</w:t>
      </w:r>
    </w:p>
    <w:p>
      <w:pPr>
        <w:keepNext w:val="0"/>
        <w:keepLines w:val="0"/>
        <w:pageBreakBefore w:val="0"/>
        <w:kinsoku/>
        <w:overflowPunct/>
        <w:topLinePunct w:val="0"/>
        <w:autoSpaceDE/>
        <w:autoSpaceDN/>
        <w:bidi w:val="0"/>
        <w:snapToGrid w:val="0"/>
        <w:spacing w:line="560" w:lineRule="exact"/>
        <w:ind w:firstLine="0" w:firstLineChars="0"/>
        <w:contextualSpacing/>
        <w:jc w:val="left"/>
        <w:outlineLvl w:val="9"/>
        <w:rPr>
          <w:rFonts w:hint="eastAsia" w:ascii="宋体" w:hAnsi="宋体" w:cs="华文仿宋"/>
          <w:color w:val="000000" w:themeColor="text1"/>
          <w:sz w:val="28"/>
          <w:szCs w:val="28"/>
          <w:lang w:val="en-US" w:eastAsia="zh-Hans"/>
          <w14:textFill>
            <w14:solidFill>
              <w14:schemeClr w14:val="tx1"/>
            </w14:solidFill>
          </w14:textFill>
        </w:rPr>
      </w:pPr>
      <w:r>
        <w:rPr>
          <w:rFonts w:hint="eastAsia" w:ascii="宋体" w:hAnsi="宋体" w:cs="华文仿宋"/>
          <w:color w:val="000000" w:themeColor="text1"/>
          <w:sz w:val="28"/>
          <w:szCs w:val="28"/>
          <w:lang w:val="en-US" w:eastAsia="zh-Hans"/>
          <w14:textFill>
            <w14:solidFill>
              <w14:schemeClr w14:val="tx1"/>
            </w14:solidFill>
          </w14:textFill>
        </w:rPr>
        <w:t>2．债权申报材料</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w:panose1 w:val="00000000000000000000"/>
    <w:charset w:val="00"/>
    <w:family w:val="auto"/>
    <w:pitch w:val="default"/>
    <w:sig w:usb0="E00002FF" w:usb1="5000785B" w:usb2="00000000" w:usb3="00000000" w:csb0="2000019F" w:csb1="4F01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single" w:color="auto" w:sz="4" w:space="1"/>
      </w:pBdr>
      <w:jc w:val="center"/>
    </w:pP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19</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19</w:t>
    </w:r>
    <w:r>
      <w:rPr>
        <w:rFonts w:ascii="宋体" w:hAnsi="宋体"/>
        <w:kern w:val="0"/>
        <w:szCs w:val="21"/>
      </w:rPr>
      <w:fldChar w:fldCharType="end"/>
    </w:r>
    <w:r>
      <w:rPr>
        <w:rFonts w:hint="eastAsia" w:ascii="宋体" w:hAnsi="宋体"/>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1</w:t>
    </w:r>
    <w: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ascii="仿宋" w:hAnsi="仿宋" w:eastAsia="仿宋" w:cs="仿宋"/>
        <w:lang w:eastAsia="zh-Hans"/>
      </w:rPr>
    </w:pPr>
    <w:r>
      <w:rPr>
        <w:rFonts w:hint="eastAsia" w:ascii="仿宋" w:hAnsi="仿宋" w:eastAsia="仿宋" w:cs="仿宋"/>
        <w:lang w:val="en-US" w:eastAsia="zh-CN"/>
      </w:rPr>
      <w:t>徐超</w:t>
    </w:r>
    <w:r>
      <w:rPr>
        <w:rFonts w:hint="eastAsia" w:ascii="仿宋" w:hAnsi="仿宋" w:eastAsia="仿宋" w:cs="仿宋"/>
        <w:lang w:eastAsia="zh-Hans"/>
      </w:rPr>
      <w:t>个人债务集中清理案</w:t>
    </w:r>
    <w:r>
      <w:rPr>
        <w:rFonts w:hint="eastAsia" w:ascii="仿宋" w:hAnsi="仿宋" w:eastAsia="仿宋" w:cs="仿宋"/>
        <w:lang w:val="en-US" w:eastAsia="zh-CN"/>
      </w:rPr>
      <w:tab/>
    </w:r>
    <w:r>
      <w:rPr>
        <w:rFonts w:hint="eastAsia" w:ascii="仿宋" w:hAnsi="仿宋" w:eastAsia="仿宋" w:cs="仿宋"/>
        <w:lang w:val="en-US" w:eastAsia="zh-CN"/>
      </w:rPr>
      <w:tab/>
    </w:r>
    <w:r>
      <w:rPr>
        <w:rFonts w:hint="eastAsia" w:ascii="仿宋" w:hAnsi="仿宋" w:eastAsia="仿宋" w:cs="仿宋"/>
        <w:lang w:eastAsia="zh-Hans"/>
      </w:rPr>
      <w:t>债权申报通知书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F6D"/>
    <w:rsid w:val="00007BF4"/>
    <w:rsid w:val="00011261"/>
    <w:rsid w:val="00012E41"/>
    <w:rsid w:val="0001544D"/>
    <w:rsid w:val="00023E6C"/>
    <w:rsid w:val="00024FF0"/>
    <w:rsid w:val="00032458"/>
    <w:rsid w:val="00042112"/>
    <w:rsid w:val="00044D66"/>
    <w:rsid w:val="00044D9B"/>
    <w:rsid w:val="00046FE2"/>
    <w:rsid w:val="00053CAC"/>
    <w:rsid w:val="00061C73"/>
    <w:rsid w:val="000628DA"/>
    <w:rsid w:val="00075ABC"/>
    <w:rsid w:val="00081BCB"/>
    <w:rsid w:val="00085851"/>
    <w:rsid w:val="00094473"/>
    <w:rsid w:val="00095CB7"/>
    <w:rsid w:val="000A432B"/>
    <w:rsid w:val="000A761E"/>
    <w:rsid w:val="000C0FDF"/>
    <w:rsid w:val="000C409E"/>
    <w:rsid w:val="000D5BC8"/>
    <w:rsid w:val="000D5E73"/>
    <w:rsid w:val="000E12B2"/>
    <w:rsid w:val="000E36F7"/>
    <w:rsid w:val="000E5BD9"/>
    <w:rsid w:val="000E613F"/>
    <w:rsid w:val="000F0C8E"/>
    <w:rsid w:val="000F4321"/>
    <w:rsid w:val="000F4A53"/>
    <w:rsid w:val="00102B11"/>
    <w:rsid w:val="00111091"/>
    <w:rsid w:val="0011518D"/>
    <w:rsid w:val="00115A8E"/>
    <w:rsid w:val="001227D3"/>
    <w:rsid w:val="0012643C"/>
    <w:rsid w:val="001326E0"/>
    <w:rsid w:val="00132B47"/>
    <w:rsid w:val="00133D85"/>
    <w:rsid w:val="001366DB"/>
    <w:rsid w:val="00145BAC"/>
    <w:rsid w:val="00153608"/>
    <w:rsid w:val="00154A64"/>
    <w:rsid w:val="00155B30"/>
    <w:rsid w:val="0016015C"/>
    <w:rsid w:val="00171E99"/>
    <w:rsid w:val="00172A27"/>
    <w:rsid w:val="001772CB"/>
    <w:rsid w:val="001845F2"/>
    <w:rsid w:val="001847E5"/>
    <w:rsid w:val="00185BE6"/>
    <w:rsid w:val="00190FD2"/>
    <w:rsid w:val="00192F1F"/>
    <w:rsid w:val="0019748C"/>
    <w:rsid w:val="0019755B"/>
    <w:rsid w:val="001A0DE9"/>
    <w:rsid w:val="001A5039"/>
    <w:rsid w:val="001A56ED"/>
    <w:rsid w:val="001B49B3"/>
    <w:rsid w:val="001C3B10"/>
    <w:rsid w:val="001C6085"/>
    <w:rsid w:val="001D2AFF"/>
    <w:rsid w:val="001D7B9A"/>
    <w:rsid w:val="001E0CED"/>
    <w:rsid w:val="001E0CF0"/>
    <w:rsid w:val="001E216D"/>
    <w:rsid w:val="0020257C"/>
    <w:rsid w:val="00205C6B"/>
    <w:rsid w:val="00211339"/>
    <w:rsid w:val="00226B9D"/>
    <w:rsid w:val="002365BD"/>
    <w:rsid w:val="00241084"/>
    <w:rsid w:val="00243325"/>
    <w:rsid w:val="00264559"/>
    <w:rsid w:val="00264CAD"/>
    <w:rsid w:val="00280841"/>
    <w:rsid w:val="002A2DC7"/>
    <w:rsid w:val="002A5C5F"/>
    <w:rsid w:val="002B25FE"/>
    <w:rsid w:val="002B3486"/>
    <w:rsid w:val="002C0767"/>
    <w:rsid w:val="002C190C"/>
    <w:rsid w:val="002C3885"/>
    <w:rsid w:val="002C4696"/>
    <w:rsid w:val="002C6EA4"/>
    <w:rsid w:val="002D14EB"/>
    <w:rsid w:val="002D2660"/>
    <w:rsid w:val="002D45E4"/>
    <w:rsid w:val="002D4DB9"/>
    <w:rsid w:val="002D5322"/>
    <w:rsid w:val="002E24A7"/>
    <w:rsid w:val="002E2E47"/>
    <w:rsid w:val="002E64B9"/>
    <w:rsid w:val="002F0DE0"/>
    <w:rsid w:val="002F6477"/>
    <w:rsid w:val="00305884"/>
    <w:rsid w:val="0031056B"/>
    <w:rsid w:val="00312143"/>
    <w:rsid w:val="00325519"/>
    <w:rsid w:val="00326617"/>
    <w:rsid w:val="003326FD"/>
    <w:rsid w:val="00333D95"/>
    <w:rsid w:val="003452B1"/>
    <w:rsid w:val="00346382"/>
    <w:rsid w:val="003511CB"/>
    <w:rsid w:val="00352355"/>
    <w:rsid w:val="003536D2"/>
    <w:rsid w:val="003547DA"/>
    <w:rsid w:val="00354DEB"/>
    <w:rsid w:val="003608C6"/>
    <w:rsid w:val="00362C79"/>
    <w:rsid w:val="003661CC"/>
    <w:rsid w:val="00366A67"/>
    <w:rsid w:val="0037271C"/>
    <w:rsid w:val="003772BF"/>
    <w:rsid w:val="00377B48"/>
    <w:rsid w:val="003869D4"/>
    <w:rsid w:val="0039025F"/>
    <w:rsid w:val="00393F3C"/>
    <w:rsid w:val="003A3ED9"/>
    <w:rsid w:val="003B1C32"/>
    <w:rsid w:val="003C2ED5"/>
    <w:rsid w:val="003E1295"/>
    <w:rsid w:val="003E30A4"/>
    <w:rsid w:val="003E64B4"/>
    <w:rsid w:val="004076C1"/>
    <w:rsid w:val="004160D3"/>
    <w:rsid w:val="00420E8D"/>
    <w:rsid w:val="0042321C"/>
    <w:rsid w:val="00423B7C"/>
    <w:rsid w:val="00432935"/>
    <w:rsid w:val="004336D3"/>
    <w:rsid w:val="00435669"/>
    <w:rsid w:val="00435D95"/>
    <w:rsid w:val="00442AE8"/>
    <w:rsid w:val="00444285"/>
    <w:rsid w:val="0044528D"/>
    <w:rsid w:val="00446C1F"/>
    <w:rsid w:val="00447D83"/>
    <w:rsid w:val="004564A1"/>
    <w:rsid w:val="004710B7"/>
    <w:rsid w:val="004748A1"/>
    <w:rsid w:val="00477A07"/>
    <w:rsid w:val="00480822"/>
    <w:rsid w:val="0048566E"/>
    <w:rsid w:val="0049239C"/>
    <w:rsid w:val="00493636"/>
    <w:rsid w:val="00494704"/>
    <w:rsid w:val="00495B2C"/>
    <w:rsid w:val="004A4A91"/>
    <w:rsid w:val="004A6FBD"/>
    <w:rsid w:val="004B0EC8"/>
    <w:rsid w:val="004B12CE"/>
    <w:rsid w:val="004B5B8D"/>
    <w:rsid w:val="004C68C5"/>
    <w:rsid w:val="004E1074"/>
    <w:rsid w:val="004E6D4C"/>
    <w:rsid w:val="004E7515"/>
    <w:rsid w:val="004E78ED"/>
    <w:rsid w:val="004F2103"/>
    <w:rsid w:val="004F68BC"/>
    <w:rsid w:val="00500142"/>
    <w:rsid w:val="00504811"/>
    <w:rsid w:val="00505BFE"/>
    <w:rsid w:val="0051190E"/>
    <w:rsid w:val="0051429E"/>
    <w:rsid w:val="0051644B"/>
    <w:rsid w:val="005238CC"/>
    <w:rsid w:val="0053091C"/>
    <w:rsid w:val="005312D9"/>
    <w:rsid w:val="00540838"/>
    <w:rsid w:val="00544099"/>
    <w:rsid w:val="005448A0"/>
    <w:rsid w:val="00545A56"/>
    <w:rsid w:val="0054690C"/>
    <w:rsid w:val="005474C7"/>
    <w:rsid w:val="005543DB"/>
    <w:rsid w:val="005632BE"/>
    <w:rsid w:val="0057136C"/>
    <w:rsid w:val="00571AFA"/>
    <w:rsid w:val="00572B9D"/>
    <w:rsid w:val="00574E67"/>
    <w:rsid w:val="00586F4C"/>
    <w:rsid w:val="00590C4B"/>
    <w:rsid w:val="00592934"/>
    <w:rsid w:val="005A35B6"/>
    <w:rsid w:val="005A5D96"/>
    <w:rsid w:val="005B1D33"/>
    <w:rsid w:val="005C3183"/>
    <w:rsid w:val="005E4803"/>
    <w:rsid w:val="00612341"/>
    <w:rsid w:val="00613A1D"/>
    <w:rsid w:val="00621C0E"/>
    <w:rsid w:val="00623191"/>
    <w:rsid w:val="0062592D"/>
    <w:rsid w:val="006336D7"/>
    <w:rsid w:val="00640B34"/>
    <w:rsid w:val="00644A7D"/>
    <w:rsid w:val="00647287"/>
    <w:rsid w:val="00650669"/>
    <w:rsid w:val="00653EDE"/>
    <w:rsid w:val="006542A6"/>
    <w:rsid w:val="00657A53"/>
    <w:rsid w:val="00660B43"/>
    <w:rsid w:val="00662F96"/>
    <w:rsid w:val="006642B0"/>
    <w:rsid w:val="00667851"/>
    <w:rsid w:val="00677CBF"/>
    <w:rsid w:val="00687B0D"/>
    <w:rsid w:val="00687C51"/>
    <w:rsid w:val="00694448"/>
    <w:rsid w:val="006A34E2"/>
    <w:rsid w:val="006A42AB"/>
    <w:rsid w:val="006C0EBE"/>
    <w:rsid w:val="006C3151"/>
    <w:rsid w:val="006C43BE"/>
    <w:rsid w:val="006C6260"/>
    <w:rsid w:val="006D076A"/>
    <w:rsid w:val="006D6BBC"/>
    <w:rsid w:val="006D7818"/>
    <w:rsid w:val="006E1EA2"/>
    <w:rsid w:val="006E7FAC"/>
    <w:rsid w:val="006F25CF"/>
    <w:rsid w:val="006F6E7E"/>
    <w:rsid w:val="007023A6"/>
    <w:rsid w:val="00705AA2"/>
    <w:rsid w:val="007137B3"/>
    <w:rsid w:val="00721AA1"/>
    <w:rsid w:val="00723340"/>
    <w:rsid w:val="007237D4"/>
    <w:rsid w:val="00725018"/>
    <w:rsid w:val="007301D8"/>
    <w:rsid w:val="0074669C"/>
    <w:rsid w:val="00747794"/>
    <w:rsid w:val="00761A81"/>
    <w:rsid w:val="007623E9"/>
    <w:rsid w:val="00764E18"/>
    <w:rsid w:val="00767B5D"/>
    <w:rsid w:val="0077047A"/>
    <w:rsid w:val="007741F2"/>
    <w:rsid w:val="00774BF0"/>
    <w:rsid w:val="00777475"/>
    <w:rsid w:val="00792F18"/>
    <w:rsid w:val="007A500B"/>
    <w:rsid w:val="007A7525"/>
    <w:rsid w:val="007B5EF7"/>
    <w:rsid w:val="007C192E"/>
    <w:rsid w:val="007C4141"/>
    <w:rsid w:val="007C7BD8"/>
    <w:rsid w:val="007E21BA"/>
    <w:rsid w:val="007E3991"/>
    <w:rsid w:val="007E3D1A"/>
    <w:rsid w:val="007E74D9"/>
    <w:rsid w:val="007E791C"/>
    <w:rsid w:val="007F044E"/>
    <w:rsid w:val="007F1C85"/>
    <w:rsid w:val="007F25D2"/>
    <w:rsid w:val="008005C7"/>
    <w:rsid w:val="0080705E"/>
    <w:rsid w:val="0081054C"/>
    <w:rsid w:val="008118AF"/>
    <w:rsid w:val="00816ECC"/>
    <w:rsid w:val="0082108A"/>
    <w:rsid w:val="00821350"/>
    <w:rsid w:val="00821F0A"/>
    <w:rsid w:val="00824BB4"/>
    <w:rsid w:val="0082639C"/>
    <w:rsid w:val="00827241"/>
    <w:rsid w:val="00840120"/>
    <w:rsid w:val="00840CF3"/>
    <w:rsid w:val="00843548"/>
    <w:rsid w:val="008437A7"/>
    <w:rsid w:val="0084424A"/>
    <w:rsid w:val="008547C5"/>
    <w:rsid w:val="00856B68"/>
    <w:rsid w:val="00860F37"/>
    <w:rsid w:val="00861D29"/>
    <w:rsid w:val="008647FE"/>
    <w:rsid w:val="008650E8"/>
    <w:rsid w:val="008713BC"/>
    <w:rsid w:val="00872AF3"/>
    <w:rsid w:val="00873100"/>
    <w:rsid w:val="008760E4"/>
    <w:rsid w:val="00880D21"/>
    <w:rsid w:val="0089140D"/>
    <w:rsid w:val="00896876"/>
    <w:rsid w:val="008A7A75"/>
    <w:rsid w:val="008B5A2C"/>
    <w:rsid w:val="008C0DF3"/>
    <w:rsid w:val="008C5E34"/>
    <w:rsid w:val="008D6228"/>
    <w:rsid w:val="008D6464"/>
    <w:rsid w:val="008D6AF3"/>
    <w:rsid w:val="008E13D3"/>
    <w:rsid w:val="008F1D65"/>
    <w:rsid w:val="008F6159"/>
    <w:rsid w:val="008F6946"/>
    <w:rsid w:val="009055F2"/>
    <w:rsid w:val="00913CD7"/>
    <w:rsid w:val="00922F3B"/>
    <w:rsid w:val="009242FF"/>
    <w:rsid w:val="00924BB7"/>
    <w:rsid w:val="009309EB"/>
    <w:rsid w:val="00935817"/>
    <w:rsid w:val="00941AAA"/>
    <w:rsid w:val="0094225A"/>
    <w:rsid w:val="00950747"/>
    <w:rsid w:val="009522C4"/>
    <w:rsid w:val="00957B0E"/>
    <w:rsid w:val="0096232D"/>
    <w:rsid w:val="00973E85"/>
    <w:rsid w:val="00974441"/>
    <w:rsid w:val="00976509"/>
    <w:rsid w:val="00987E97"/>
    <w:rsid w:val="0099000C"/>
    <w:rsid w:val="0099223C"/>
    <w:rsid w:val="00993040"/>
    <w:rsid w:val="009A0FD9"/>
    <w:rsid w:val="009A2973"/>
    <w:rsid w:val="009A2C7F"/>
    <w:rsid w:val="009A4561"/>
    <w:rsid w:val="009A6B21"/>
    <w:rsid w:val="009B0560"/>
    <w:rsid w:val="009B5EB7"/>
    <w:rsid w:val="009C1D37"/>
    <w:rsid w:val="009C7424"/>
    <w:rsid w:val="009C7E9A"/>
    <w:rsid w:val="009D3B0A"/>
    <w:rsid w:val="009E112F"/>
    <w:rsid w:val="009E1BB0"/>
    <w:rsid w:val="009E1E83"/>
    <w:rsid w:val="009E4139"/>
    <w:rsid w:val="009E5415"/>
    <w:rsid w:val="009F0D78"/>
    <w:rsid w:val="009F0DEB"/>
    <w:rsid w:val="009F4A9F"/>
    <w:rsid w:val="00A03E93"/>
    <w:rsid w:val="00A07C60"/>
    <w:rsid w:val="00A15698"/>
    <w:rsid w:val="00A224E4"/>
    <w:rsid w:val="00A23EEF"/>
    <w:rsid w:val="00A33A38"/>
    <w:rsid w:val="00A3444B"/>
    <w:rsid w:val="00A40614"/>
    <w:rsid w:val="00A41E5D"/>
    <w:rsid w:val="00A452E4"/>
    <w:rsid w:val="00A5029C"/>
    <w:rsid w:val="00A524F4"/>
    <w:rsid w:val="00A549BA"/>
    <w:rsid w:val="00A64494"/>
    <w:rsid w:val="00A65D43"/>
    <w:rsid w:val="00A666C8"/>
    <w:rsid w:val="00A670C3"/>
    <w:rsid w:val="00A678BB"/>
    <w:rsid w:val="00A70C85"/>
    <w:rsid w:val="00A713CB"/>
    <w:rsid w:val="00A82C32"/>
    <w:rsid w:val="00A839D4"/>
    <w:rsid w:val="00A9074E"/>
    <w:rsid w:val="00A912AC"/>
    <w:rsid w:val="00A93F34"/>
    <w:rsid w:val="00AA552C"/>
    <w:rsid w:val="00AB12F9"/>
    <w:rsid w:val="00AB6631"/>
    <w:rsid w:val="00AB7B1D"/>
    <w:rsid w:val="00AB7B82"/>
    <w:rsid w:val="00AC16D5"/>
    <w:rsid w:val="00AC2144"/>
    <w:rsid w:val="00AD6994"/>
    <w:rsid w:val="00AE3492"/>
    <w:rsid w:val="00AE3BAE"/>
    <w:rsid w:val="00AF338B"/>
    <w:rsid w:val="00B026A5"/>
    <w:rsid w:val="00B0399E"/>
    <w:rsid w:val="00B063EA"/>
    <w:rsid w:val="00B14588"/>
    <w:rsid w:val="00B15F79"/>
    <w:rsid w:val="00B210A8"/>
    <w:rsid w:val="00B236D3"/>
    <w:rsid w:val="00B27C30"/>
    <w:rsid w:val="00B42159"/>
    <w:rsid w:val="00B443FB"/>
    <w:rsid w:val="00B46E9C"/>
    <w:rsid w:val="00B47F6F"/>
    <w:rsid w:val="00B55EB8"/>
    <w:rsid w:val="00B570DD"/>
    <w:rsid w:val="00B6645E"/>
    <w:rsid w:val="00B67839"/>
    <w:rsid w:val="00B7073A"/>
    <w:rsid w:val="00B71A1C"/>
    <w:rsid w:val="00B801EE"/>
    <w:rsid w:val="00B83614"/>
    <w:rsid w:val="00B92141"/>
    <w:rsid w:val="00B95DBC"/>
    <w:rsid w:val="00BA0BAA"/>
    <w:rsid w:val="00BA5082"/>
    <w:rsid w:val="00BA5B01"/>
    <w:rsid w:val="00BA67F1"/>
    <w:rsid w:val="00BD1927"/>
    <w:rsid w:val="00BD1ADB"/>
    <w:rsid w:val="00BD2370"/>
    <w:rsid w:val="00BD57E5"/>
    <w:rsid w:val="00BD7BCA"/>
    <w:rsid w:val="00BE3587"/>
    <w:rsid w:val="00BE7DC1"/>
    <w:rsid w:val="00BF21F4"/>
    <w:rsid w:val="00BF2DF3"/>
    <w:rsid w:val="00C016DB"/>
    <w:rsid w:val="00C15176"/>
    <w:rsid w:val="00C15506"/>
    <w:rsid w:val="00C2042F"/>
    <w:rsid w:val="00C24257"/>
    <w:rsid w:val="00C24CDC"/>
    <w:rsid w:val="00C26E63"/>
    <w:rsid w:val="00C271EE"/>
    <w:rsid w:val="00C27E0E"/>
    <w:rsid w:val="00C31FFD"/>
    <w:rsid w:val="00C378E9"/>
    <w:rsid w:val="00C41777"/>
    <w:rsid w:val="00C434FE"/>
    <w:rsid w:val="00C444AC"/>
    <w:rsid w:val="00C46064"/>
    <w:rsid w:val="00C509E9"/>
    <w:rsid w:val="00C527C1"/>
    <w:rsid w:val="00C53981"/>
    <w:rsid w:val="00C56E7E"/>
    <w:rsid w:val="00C64E2A"/>
    <w:rsid w:val="00C66CE1"/>
    <w:rsid w:val="00C7313C"/>
    <w:rsid w:val="00C81B87"/>
    <w:rsid w:val="00C82842"/>
    <w:rsid w:val="00C83D73"/>
    <w:rsid w:val="00C8655C"/>
    <w:rsid w:val="00C90BFD"/>
    <w:rsid w:val="00C923CA"/>
    <w:rsid w:val="00C95FEF"/>
    <w:rsid w:val="00C96C83"/>
    <w:rsid w:val="00CA5B4A"/>
    <w:rsid w:val="00CB3D90"/>
    <w:rsid w:val="00CB6E03"/>
    <w:rsid w:val="00CC0584"/>
    <w:rsid w:val="00CD0182"/>
    <w:rsid w:val="00CD0C5B"/>
    <w:rsid w:val="00CD259E"/>
    <w:rsid w:val="00CD61FE"/>
    <w:rsid w:val="00CD7171"/>
    <w:rsid w:val="00CE04E5"/>
    <w:rsid w:val="00CE2877"/>
    <w:rsid w:val="00CE37ED"/>
    <w:rsid w:val="00CE7517"/>
    <w:rsid w:val="00CF77DD"/>
    <w:rsid w:val="00D0558C"/>
    <w:rsid w:val="00D0771A"/>
    <w:rsid w:val="00D14014"/>
    <w:rsid w:val="00D20448"/>
    <w:rsid w:val="00D23828"/>
    <w:rsid w:val="00D23D17"/>
    <w:rsid w:val="00D3766D"/>
    <w:rsid w:val="00D47313"/>
    <w:rsid w:val="00D5394D"/>
    <w:rsid w:val="00D64DAF"/>
    <w:rsid w:val="00D71729"/>
    <w:rsid w:val="00D71881"/>
    <w:rsid w:val="00D740C4"/>
    <w:rsid w:val="00D763F3"/>
    <w:rsid w:val="00D82AF9"/>
    <w:rsid w:val="00D84914"/>
    <w:rsid w:val="00D91727"/>
    <w:rsid w:val="00D96975"/>
    <w:rsid w:val="00DA192F"/>
    <w:rsid w:val="00DB5020"/>
    <w:rsid w:val="00DC677C"/>
    <w:rsid w:val="00DC7BC3"/>
    <w:rsid w:val="00DD4DBB"/>
    <w:rsid w:val="00DE529A"/>
    <w:rsid w:val="00DE5B1B"/>
    <w:rsid w:val="00DE7BD0"/>
    <w:rsid w:val="00DF1E53"/>
    <w:rsid w:val="00DF3FBD"/>
    <w:rsid w:val="00DF4972"/>
    <w:rsid w:val="00E01449"/>
    <w:rsid w:val="00E14BF5"/>
    <w:rsid w:val="00E15A7C"/>
    <w:rsid w:val="00E17E16"/>
    <w:rsid w:val="00E30441"/>
    <w:rsid w:val="00E32425"/>
    <w:rsid w:val="00E344D3"/>
    <w:rsid w:val="00E37772"/>
    <w:rsid w:val="00E4770C"/>
    <w:rsid w:val="00E50941"/>
    <w:rsid w:val="00E60989"/>
    <w:rsid w:val="00E62A33"/>
    <w:rsid w:val="00E63EEE"/>
    <w:rsid w:val="00E76246"/>
    <w:rsid w:val="00E83D68"/>
    <w:rsid w:val="00E91CDD"/>
    <w:rsid w:val="00E97BC7"/>
    <w:rsid w:val="00EA612B"/>
    <w:rsid w:val="00EA732D"/>
    <w:rsid w:val="00EC1497"/>
    <w:rsid w:val="00EC18D4"/>
    <w:rsid w:val="00ED03A4"/>
    <w:rsid w:val="00ED173E"/>
    <w:rsid w:val="00ED22EE"/>
    <w:rsid w:val="00ED7095"/>
    <w:rsid w:val="00EE7030"/>
    <w:rsid w:val="00EE73D5"/>
    <w:rsid w:val="00EF2472"/>
    <w:rsid w:val="00EF61ED"/>
    <w:rsid w:val="00F17FD2"/>
    <w:rsid w:val="00F20C27"/>
    <w:rsid w:val="00F23928"/>
    <w:rsid w:val="00F43659"/>
    <w:rsid w:val="00F43FC6"/>
    <w:rsid w:val="00F47D47"/>
    <w:rsid w:val="00F527DC"/>
    <w:rsid w:val="00F54DC6"/>
    <w:rsid w:val="00F55408"/>
    <w:rsid w:val="00F57E8F"/>
    <w:rsid w:val="00F7350A"/>
    <w:rsid w:val="00F73737"/>
    <w:rsid w:val="00F74203"/>
    <w:rsid w:val="00F75F30"/>
    <w:rsid w:val="00F77007"/>
    <w:rsid w:val="00F8179C"/>
    <w:rsid w:val="00F82E56"/>
    <w:rsid w:val="00F90719"/>
    <w:rsid w:val="00F92BCF"/>
    <w:rsid w:val="00F97685"/>
    <w:rsid w:val="00FB2C71"/>
    <w:rsid w:val="00FC1919"/>
    <w:rsid w:val="00FC2177"/>
    <w:rsid w:val="00FC2328"/>
    <w:rsid w:val="00FC24F2"/>
    <w:rsid w:val="00FC5F42"/>
    <w:rsid w:val="00FD18BB"/>
    <w:rsid w:val="00FD2BBF"/>
    <w:rsid w:val="00FD2F53"/>
    <w:rsid w:val="00FD3F72"/>
    <w:rsid w:val="00FD643A"/>
    <w:rsid w:val="00FD75C8"/>
    <w:rsid w:val="00FF1D6D"/>
    <w:rsid w:val="064F893D"/>
    <w:rsid w:val="0FF7EF0C"/>
    <w:rsid w:val="177F4AED"/>
    <w:rsid w:val="1AFEEFDB"/>
    <w:rsid w:val="2FFFD940"/>
    <w:rsid w:val="337DC2C9"/>
    <w:rsid w:val="37DF3055"/>
    <w:rsid w:val="39F76D10"/>
    <w:rsid w:val="3B2FC8B9"/>
    <w:rsid w:val="3C2E1A9C"/>
    <w:rsid w:val="3F7FD66F"/>
    <w:rsid w:val="3FFA9A58"/>
    <w:rsid w:val="3FFD6F9B"/>
    <w:rsid w:val="45F74790"/>
    <w:rsid w:val="497F14D3"/>
    <w:rsid w:val="4BEF44B7"/>
    <w:rsid w:val="4FB7928B"/>
    <w:rsid w:val="4FD9FEB4"/>
    <w:rsid w:val="4FFEE87F"/>
    <w:rsid w:val="53FE5F4F"/>
    <w:rsid w:val="5AFF1C1E"/>
    <w:rsid w:val="5CFF15EB"/>
    <w:rsid w:val="5DD93FCB"/>
    <w:rsid w:val="5EFFAF1C"/>
    <w:rsid w:val="5FBDE871"/>
    <w:rsid w:val="5FC7D5A0"/>
    <w:rsid w:val="5FF7EF3C"/>
    <w:rsid w:val="5FFFA375"/>
    <w:rsid w:val="62DF00CB"/>
    <w:rsid w:val="62EF062B"/>
    <w:rsid w:val="6367407E"/>
    <w:rsid w:val="63FFFD47"/>
    <w:rsid w:val="65D761C6"/>
    <w:rsid w:val="6739749E"/>
    <w:rsid w:val="6AFF95F8"/>
    <w:rsid w:val="6B9DE6B8"/>
    <w:rsid w:val="6C4354EF"/>
    <w:rsid w:val="6C6E6D00"/>
    <w:rsid w:val="6D6B850E"/>
    <w:rsid w:val="6E95515F"/>
    <w:rsid w:val="6EDD87E5"/>
    <w:rsid w:val="6EDF4F53"/>
    <w:rsid w:val="6EF7C389"/>
    <w:rsid w:val="6F77F238"/>
    <w:rsid w:val="6FC20B84"/>
    <w:rsid w:val="6FDE922F"/>
    <w:rsid w:val="6FEFD441"/>
    <w:rsid w:val="6FFF3DDC"/>
    <w:rsid w:val="71D23976"/>
    <w:rsid w:val="736B50B8"/>
    <w:rsid w:val="758EE1B0"/>
    <w:rsid w:val="75D21DD0"/>
    <w:rsid w:val="75DA7022"/>
    <w:rsid w:val="76FD31C4"/>
    <w:rsid w:val="773EC46E"/>
    <w:rsid w:val="7757F5CD"/>
    <w:rsid w:val="77AB3BE8"/>
    <w:rsid w:val="77EEB348"/>
    <w:rsid w:val="7ADFF7C6"/>
    <w:rsid w:val="7AFF3FDA"/>
    <w:rsid w:val="7B631C81"/>
    <w:rsid w:val="7BBF4EDC"/>
    <w:rsid w:val="7BE79B00"/>
    <w:rsid w:val="7BEF5C00"/>
    <w:rsid w:val="7BF178E2"/>
    <w:rsid w:val="7BFE5714"/>
    <w:rsid w:val="7BFF0D4D"/>
    <w:rsid w:val="7BFFE491"/>
    <w:rsid w:val="7D2F1541"/>
    <w:rsid w:val="7DDFFD5E"/>
    <w:rsid w:val="7DEF0EBC"/>
    <w:rsid w:val="7DF28E49"/>
    <w:rsid w:val="7DF39F3C"/>
    <w:rsid w:val="7DFBE25C"/>
    <w:rsid w:val="7E5F6997"/>
    <w:rsid w:val="7EA9828D"/>
    <w:rsid w:val="7EB4B886"/>
    <w:rsid w:val="7EB77510"/>
    <w:rsid w:val="7EF3DE3F"/>
    <w:rsid w:val="7F1E79A9"/>
    <w:rsid w:val="7F2AD91A"/>
    <w:rsid w:val="7F7E11A4"/>
    <w:rsid w:val="7FDDAEEB"/>
    <w:rsid w:val="7FE93870"/>
    <w:rsid w:val="7FF3B1D5"/>
    <w:rsid w:val="7FFBF4CE"/>
    <w:rsid w:val="7FFFA709"/>
    <w:rsid w:val="86D35D0F"/>
    <w:rsid w:val="8CFAD277"/>
    <w:rsid w:val="8F9F5E99"/>
    <w:rsid w:val="9F7FAD97"/>
    <w:rsid w:val="AF8D711B"/>
    <w:rsid w:val="AFFD7EBD"/>
    <w:rsid w:val="B17E78B8"/>
    <w:rsid w:val="B2470660"/>
    <w:rsid w:val="B4FF239F"/>
    <w:rsid w:val="B768C2E2"/>
    <w:rsid w:val="B7FE7AE2"/>
    <w:rsid w:val="B9F53E10"/>
    <w:rsid w:val="BB5F14CD"/>
    <w:rsid w:val="BBEE3A9B"/>
    <w:rsid w:val="BCF75DCB"/>
    <w:rsid w:val="BDCF5A59"/>
    <w:rsid w:val="BE8FB81D"/>
    <w:rsid w:val="BEADE1A7"/>
    <w:rsid w:val="BF62FF1C"/>
    <w:rsid w:val="BFAE1186"/>
    <w:rsid w:val="BFBF689B"/>
    <w:rsid w:val="BFF45C73"/>
    <w:rsid w:val="BFF9230B"/>
    <w:rsid w:val="BFFCFC6E"/>
    <w:rsid w:val="C67F939A"/>
    <w:rsid w:val="C7B7FFC8"/>
    <w:rsid w:val="C7CF61D4"/>
    <w:rsid w:val="CDFD7DBC"/>
    <w:rsid w:val="CF6F276E"/>
    <w:rsid w:val="CFAD5ADD"/>
    <w:rsid w:val="CFF3C19A"/>
    <w:rsid w:val="D4E656C8"/>
    <w:rsid w:val="D5F7FC5B"/>
    <w:rsid w:val="DA2D1C57"/>
    <w:rsid w:val="DB5B9519"/>
    <w:rsid w:val="DB9DA053"/>
    <w:rsid w:val="DCCE7F75"/>
    <w:rsid w:val="DCF71F25"/>
    <w:rsid w:val="DDBE960F"/>
    <w:rsid w:val="DE9F2339"/>
    <w:rsid w:val="DF5C454D"/>
    <w:rsid w:val="DFDD3461"/>
    <w:rsid w:val="DFFD038E"/>
    <w:rsid w:val="DFFFD7FB"/>
    <w:rsid w:val="E3E5BA4B"/>
    <w:rsid w:val="E3FBBCCA"/>
    <w:rsid w:val="E3FF58A1"/>
    <w:rsid w:val="E5ACF043"/>
    <w:rsid w:val="E93D6E9C"/>
    <w:rsid w:val="EBFB5B99"/>
    <w:rsid w:val="EDFD3624"/>
    <w:rsid w:val="EE3B6B98"/>
    <w:rsid w:val="EEFF4E96"/>
    <w:rsid w:val="EF1BED36"/>
    <w:rsid w:val="EF4DC389"/>
    <w:rsid w:val="EFF4D93B"/>
    <w:rsid w:val="EFFB70AA"/>
    <w:rsid w:val="EFFF4A5A"/>
    <w:rsid w:val="F3FEB656"/>
    <w:rsid w:val="F3FF563D"/>
    <w:rsid w:val="F6781C11"/>
    <w:rsid w:val="F69DAB9D"/>
    <w:rsid w:val="F6BE5D26"/>
    <w:rsid w:val="F6FB6DAB"/>
    <w:rsid w:val="F77DA37E"/>
    <w:rsid w:val="F78D5D7D"/>
    <w:rsid w:val="F7BD9583"/>
    <w:rsid w:val="F7BFD544"/>
    <w:rsid w:val="F7C91271"/>
    <w:rsid w:val="F7CF54DE"/>
    <w:rsid w:val="F7F7860D"/>
    <w:rsid w:val="F9720582"/>
    <w:rsid w:val="FB6F3DEA"/>
    <w:rsid w:val="FB7F6797"/>
    <w:rsid w:val="FBEA0812"/>
    <w:rsid w:val="FBF7B2AE"/>
    <w:rsid w:val="FD72007F"/>
    <w:rsid w:val="FD8FA2E5"/>
    <w:rsid w:val="FDEFC2B0"/>
    <w:rsid w:val="FEEF55AB"/>
    <w:rsid w:val="FEEFC9BE"/>
    <w:rsid w:val="FEEFD6CA"/>
    <w:rsid w:val="FEF9541F"/>
    <w:rsid w:val="FEFEB75F"/>
    <w:rsid w:val="FF5F5C76"/>
    <w:rsid w:val="FF8FD8CA"/>
    <w:rsid w:val="FF9F5F77"/>
    <w:rsid w:val="FFBB15DB"/>
    <w:rsid w:val="FFBFC8C0"/>
    <w:rsid w:val="FFCD2AC0"/>
    <w:rsid w:val="FFD55621"/>
    <w:rsid w:val="FFDB7615"/>
    <w:rsid w:val="FFDFFCE0"/>
    <w:rsid w:val="FFEBA344"/>
    <w:rsid w:val="FFF77479"/>
    <w:rsid w:val="FFFBC487"/>
    <w:rsid w:val="FFFC429F"/>
    <w:rsid w:val="FFFF8F2D"/>
    <w:rsid w:val="FFFFE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6"/>
    <w:qFormat/>
    <w:uiPriority w:val="0"/>
    <w:rPr>
      <w:rFonts w:ascii="Helvetica" w:hAnsi="Helvetica"/>
      <w:sz w:val="24"/>
      <w:szCs w:val="24"/>
    </w:rPr>
  </w:style>
  <w:style w:type="paragraph" w:styleId="3">
    <w:name w:val="annotation text"/>
    <w:basedOn w:val="1"/>
    <w:link w:val="18"/>
    <w:qFormat/>
    <w:uiPriority w:val="0"/>
    <w:pPr>
      <w:jc w:val="left"/>
    </w:pPr>
  </w:style>
  <w:style w:type="paragraph" w:styleId="4">
    <w:name w:val="Date"/>
    <w:basedOn w:val="1"/>
    <w:next w:val="1"/>
    <w:link w:val="20"/>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9"/>
    <w:qFormat/>
    <w:uiPriority w:val="0"/>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FollowedHyperlink"/>
    <w:qFormat/>
    <w:uiPriority w:val="0"/>
    <w:rPr>
      <w:color w:val="954F72"/>
      <w:u w:val="single"/>
    </w:rPr>
  </w:style>
  <w:style w:type="character" w:styleId="14">
    <w:name w:val="Hyperlink"/>
    <w:qFormat/>
    <w:uiPriority w:val="0"/>
    <w:rPr>
      <w:color w:val="0563C1"/>
      <w:u w:val="single"/>
    </w:rPr>
  </w:style>
  <w:style w:type="character" w:styleId="15">
    <w:name w:val="annotation reference"/>
    <w:basedOn w:val="11"/>
    <w:qFormat/>
    <w:uiPriority w:val="0"/>
    <w:rPr>
      <w:sz w:val="21"/>
      <w:szCs w:val="21"/>
    </w:rPr>
  </w:style>
  <w:style w:type="character" w:customStyle="1" w:styleId="16">
    <w:name w:val="文档结构图 字符"/>
    <w:link w:val="2"/>
    <w:qFormat/>
    <w:uiPriority w:val="0"/>
    <w:rPr>
      <w:rFonts w:ascii="Helvetica" w:hAnsi="Helvetica"/>
      <w:kern w:val="2"/>
      <w:sz w:val="24"/>
      <w:szCs w:val="24"/>
    </w:rPr>
  </w:style>
  <w:style w:type="character" w:customStyle="1" w:styleId="17">
    <w:name w:val="页脚 字符"/>
    <w:link w:val="6"/>
    <w:qFormat/>
    <w:uiPriority w:val="99"/>
    <w:rPr>
      <w:kern w:val="2"/>
      <w:sz w:val="18"/>
      <w:szCs w:val="18"/>
    </w:rPr>
  </w:style>
  <w:style w:type="character" w:customStyle="1" w:styleId="18">
    <w:name w:val="批注文字 字符"/>
    <w:basedOn w:val="11"/>
    <w:link w:val="3"/>
    <w:qFormat/>
    <w:uiPriority w:val="0"/>
    <w:rPr>
      <w:kern w:val="2"/>
      <w:sz w:val="21"/>
    </w:rPr>
  </w:style>
  <w:style w:type="character" w:customStyle="1" w:styleId="19">
    <w:name w:val="批注主题 字符"/>
    <w:basedOn w:val="18"/>
    <w:link w:val="8"/>
    <w:qFormat/>
    <w:uiPriority w:val="0"/>
    <w:rPr>
      <w:b/>
      <w:bCs/>
      <w:kern w:val="2"/>
      <w:sz w:val="21"/>
    </w:rPr>
  </w:style>
  <w:style w:type="character" w:customStyle="1" w:styleId="20">
    <w:name w:val="日期 字符"/>
    <w:basedOn w:val="11"/>
    <w:link w:val="4"/>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
  <Pages>14</Pages>
  <Words>1060</Words>
  <Characters>6042</Characters>
  <Lines>50</Lines>
  <Paragraphs>14</Paragraphs>
  <TotalTime>36</TotalTime>
  <ScaleCrop>false</ScaleCrop>
  <LinksUpToDate>false</LinksUpToDate>
  <CharactersWithSpaces>7088</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2018-08-11T18:59:00Z</dcterms:created>
  <dc:creator>*</dc:creator>
  <cp:lastModifiedBy>毛奕恺</cp:lastModifiedBy>
  <cp:lastPrinted>2020-09-27T11:24:00Z</cp:lastPrinted>
  <dcterms:modified xsi:type="dcterms:W3CDTF">2024-05-10T00:40:31Z</dcterms:modified>
  <dc:title>债权申报须知</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FF089066408FBD6C7D5C3C66A79897CC_42</vt:lpwstr>
  </property>
</Properties>
</file>